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991" w:rsidRPr="007B1641" w:rsidRDefault="007B1641" w:rsidP="007B164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16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7B1641" w:rsidRPr="007B1641" w:rsidRDefault="007B1641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641" w:rsidRPr="007B1641" w:rsidRDefault="007B1641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641" w:rsidRPr="007B1641" w:rsidRDefault="007B1641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641" w:rsidRPr="007B1641" w:rsidRDefault="007B1641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641" w:rsidRPr="007B1641" w:rsidRDefault="007B1641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641" w:rsidRDefault="007B1641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16A" w:rsidRPr="007B1641" w:rsidRDefault="0039716A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641" w:rsidRPr="007B1641" w:rsidRDefault="007B1641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641" w:rsidRPr="007B1641" w:rsidRDefault="007B1641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641" w:rsidRPr="007B1641" w:rsidRDefault="007B1641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641" w:rsidRPr="007B1641" w:rsidRDefault="007B1641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641" w:rsidRPr="007B1641" w:rsidRDefault="007B1641" w:rsidP="00AD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991" w:rsidRPr="007B1641" w:rsidRDefault="00AD7991" w:rsidP="00AD7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D4" w:rsidRPr="007B1641" w:rsidRDefault="00CF2A24" w:rsidP="00AE648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1641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E6485">
        <w:rPr>
          <w:rFonts w:ascii="Times New Roman" w:hAnsi="Times New Roman" w:cs="Times New Roman"/>
          <w:b w:val="0"/>
          <w:sz w:val="28"/>
          <w:szCs w:val="28"/>
        </w:rPr>
        <w:t xml:space="preserve">внесении изменений (корректировке) в </w:t>
      </w:r>
      <w:r w:rsidR="003528D4" w:rsidRPr="007B1641">
        <w:rPr>
          <w:rFonts w:ascii="Times New Roman" w:hAnsi="Times New Roman" w:cs="Times New Roman"/>
          <w:b w:val="0"/>
          <w:sz w:val="28"/>
          <w:szCs w:val="28"/>
        </w:rPr>
        <w:t>прогноз</w:t>
      </w:r>
      <w:r w:rsidRPr="007B1641">
        <w:rPr>
          <w:rFonts w:ascii="Times New Roman" w:hAnsi="Times New Roman" w:cs="Times New Roman"/>
          <w:b w:val="0"/>
          <w:sz w:val="28"/>
          <w:szCs w:val="28"/>
        </w:rPr>
        <w:t xml:space="preserve"> соц</w:t>
      </w:r>
      <w:r w:rsidR="003528D4" w:rsidRPr="007B1641">
        <w:rPr>
          <w:rFonts w:ascii="Times New Roman" w:hAnsi="Times New Roman" w:cs="Times New Roman"/>
          <w:b w:val="0"/>
          <w:sz w:val="28"/>
          <w:szCs w:val="28"/>
        </w:rPr>
        <w:t xml:space="preserve">иально-экономического </w:t>
      </w:r>
      <w:r w:rsidR="00AD7991" w:rsidRPr="007B1641">
        <w:rPr>
          <w:rFonts w:ascii="Times New Roman" w:hAnsi="Times New Roman" w:cs="Times New Roman"/>
          <w:b w:val="0"/>
          <w:sz w:val="28"/>
          <w:szCs w:val="28"/>
        </w:rPr>
        <w:t>развития Г</w:t>
      </w:r>
      <w:r w:rsidRPr="007B1641">
        <w:rPr>
          <w:rFonts w:ascii="Times New Roman" w:hAnsi="Times New Roman" w:cs="Times New Roman"/>
          <w:b w:val="0"/>
          <w:sz w:val="28"/>
          <w:szCs w:val="28"/>
        </w:rPr>
        <w:t xml:space="preserve">ородского округа </w:t>
      </w:r>
      <w:r w:rsidR="00AD7991" w:rsidRPr="007B1641">
        <w:rPr>
          <w:rFonts w:ascii="Times New Roman" w:hAnsi="Times New Roman" w:cs="Times New Roman"/>
          <w:b w:val="0"/>
          <w:sz w:val="28"/>
          <w:szCs w:val="28"/>
        </w:rPr>
        <w:t>Пушкинский</w:t>
      </w:r>
      <w:r w:rsidR="003528D4" w:rsidRPr="007B1641">
        <w:rPr>
          <w:rFonts w:ascii="Times New Roman" w:hAnsi="Times New Roman" w:cs="Times New Roman"/>
          <w:b w:val="0"/>
          <w:sz w:val="28"/>
          <w:szCs w:val="28"/>
        </w:rPr>
        <w:t xml:space="preserve"> Московской </w:t>
      </w:r>
      <w:r w:rsidRPr="007B1641">
        <w:rPr>
          <w:rFonts w:ascii="Times New Roman" w:hAnsi="Times New Roman" w:cs="Times New Roman"/>
          <w:b w:val="0"/>
          <w:sz w:val="28"/>
          <w:szCs w:val="28"/>
        </w:rPr>
        <w:t>области</w:t>
      </w:r>
    </w:p>
    <w:p w:rsidR="00CF2A24" w:rsidRPr="007B1641" w:rsidRDefault="00CF2A24" w:rsidP="00CF2A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1641">
        <w:rPr>
          <w:rFonts w:ascii="Times New Roman" w:hAnsi="Times New Roman" w:cs="Times New Roman"/>
          <w:b w:val="0"/>
          <w:sz w:val="28"/>
          <w:szCs w:val="28"/>
        </w:rPr>
        <w:t xml:space="preserve"> на долгосрочный период до 2030 года</w:t>
      </w:r>
    </w:p>
    <w:p w:rsidR="00CF2A24" w:rsidRPr="007B1641" w:rsidRDefault="00CF2A24" w:rsidP="00CF2A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4" w:rsidRPr="00F90CA5" w:rsidRDefault="003528D4" w:rsidP="007801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48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28.06.2014 № 172-ФЗ «О стратегическом планировании в Российской Федерации», </w:t>
      </w:r>
      <w:r w:rsidR="0026122E" w:rsidRPr="0026122E">
        <w:rPr>
          <w:rFonts w:ascii="Times New Roman" w:hAnsi="Times New Roman" w:cs="Times New Roman"/>
          <w:sz w:val="28"/>
          <w:szCs w:val="28"/>
        </w:rPr>
        <w:t>Закон</w:t>
      </w:r>
      <w:r w:rsidR="0026122E">
        <w:rPr>
          <w:rFonts w:ascii="Times New Roman" w:hAnsi="Times New Roman" w:cs="Times New Roman"/>
          <w:sz w:val="28"/>
          <w:szCs w:val="28"/>
        </w:rPr>
        <w:t>ом</w:t>
      </w:r>
      <w:r w:rsidR="0026122E" w:rsidRPr="0026122E">
        <w:rPr>
          <w:rFonts w:ascii="Times New Roman" w:hAnsi="Times New Roman" w:cs="Times New Roman"/>
          <w:sz w:val="28"/>
          <w:szCs w:val="28"/>
        </w:rPr>
        <w:t xml:space="preserve"> Московской области от 26.02.2015 № 20/2015-ОЗ «О стратегическом планировании социально-экономического развития Московской области»</w:t>
      </w:r>
      <w:r w:rsidR="0026122E">
        <w:rPr>
          <w:rFonts w:ascii="Times New Roman" w:hAnsi="Times New Roman" w:cs="Times New Roman"/>
          <w:sz w:val="28"/>
          <w:szCs w:val="28"/>
        </w:rPr>
        <w:t xml:space="preserve">, </w:t>
      </w:r>
      <w:r w:rsidRPr="00AE6485">
        <w:rPr>
          <w:rFonts w:ascii="Times New Roman" w:hAnsi="Times New Roman" w:cs="Times New Roman"/>
          <w:sz w:val="28"/>
          <w:szCs w:val="28"/>
        </w:rPr>
        <w:t>решением Совета депутатов Городского округа Пушкинский Московской области от 02.07.2021 № 53/4 «Об утверждении Положения о бюджетном процессе в Городском округе Пу</w:t>
      </w:r>
      <w:r w:rsidR="00F90CA5" w:rsidRPr="00AE6485">
        <w:rPr>
          <w:rFonts w:ascii="Times New Roman" w:hAnsi="Times New Roman" w:cs="Times New Roman"/>
          <w:sz w:val="28"/>
          <w:szCs w:val="28"/>
        </w:rPr>
        <w:t xml:space="preserve">шкинский Московской области», </w:t>
      </w:r>
      <w:r w:rsidR="00780190">
        <w:rPr>
          <w:rFonts w:ascii="Times New Roman" w:hAnsi="Times New Roman" w:cs="Times New Roman"/>
          <w:sz w:val="28"/>
          <w:szCs w:val="28"/>
        </w:rPr>
        <w:t>постановлением</w:t>
      </w:r>
      <w:r w:rsidR="00780190" w:rsidRPr="00780190">
        <w:t xml:space="preserve"> </w:t>
      </w:r>
      <w:r w:rsidR="00780190" w:rsidRPr="00780190">
        <w:rPr>
          <w:rFonts w:ascii="Times New Roman" w:hAnsi="Times New Roman" w:cs="Times New Roman"/>
          <w:sz w:val="28"/>
          <w:szCs w:val="28"/>
        </w:rPr>
        <w:t>Администрации Го</w:t>
      </w:r>
      <w:r w:rsidR="00780190">
        <w:rPr>
          <w:rFonts w:ascii="Times New Roman" w:hAnsi="Times New Roman" w:cs="Times New Roman"/>
          <w:sz w:val="28"/>
          <w:szCs w:val="28"/>
        </w:rPr>
        <w:t>родского округа Пушкинский от 19.10.2022 № 3474</w:t>
      </w:r>
      <w:r w:rsidR="00780190" w:rsidRPr="00780190">
        <w:rPr>
          <w:rFonts w:ascii="Times New Roman" w:hAnsi="Times New Roman" w:cs="Times New Roman"/>
          <w:sz w:val="28"/>
          <w:szCs w:val="28"/>
        </w:rPr>
        <w:t>-ПА «О прогнозе соц</w:t>
      </w:r>
      <w:r w:rsidR="00780190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r w:rsidR="00780190" w:rsidRPr="00780190">
        <w:rPr>
          <w:rFonts w:ascii="Times New Roman" w:hAnsi="Times New Roman" w:cs="Times New Roman"/>
          <w:sz w:val="28"/>
          <w:szCs w:val="28"/>
        </w:rPr>
        <w:t>Городского округ</w:t>
      </w:r>
      <w:r w:rsidR="00780190">
        <w:rPr>
          <w:rFonts w:ascii="Times New Roman" w:hAnsi="Times New Roman" w:cs="Times New Roman"/>
          <w:sz w:val="28"/>
          <w:szCs w:val="28"/>
        </w:rPr>
        <w:t xml:space="preserve">а Пушкинский Московской области </w:t>
      </w:r>
      <w:r w:rsidR="00780190" w:rsidRPr="00780190">
        <w:rPr>
          <w:rFonts w:ascii="Times New Roman" w:hAnsi="Times New Roman" w:cs="Times New Roman"/>
          <w:sz w:val="28"/>
          <w:szCs w:val="28"/>
        </w:rPr>
        <w:t>на среднесрочный период 2023–2025 годов</w:t>
      </w:r>
      <w:r w:rsidR="00780190">
        <w:rPr>
          <w:rFonts w:ascii="Times New Roman" w:hAnsi="Times New Roman" w:cs="Times New Roman"/>
          <w:sz w:val="28"/>
          <w:szCs w:val="28"/>
        </w:rPr>
        <w:t xml:space="preserve">», </w:t>
      </w:r>
      <w:r w:rsidRPr="00AE648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Городского округа Пушкинский от </w:t>
      </w:r>
      <w:r w:rsidR="0083700C" w:rsidRPr="00AE6485">
        <w:rPr>
          <w:rFonts w:ascii="Times New Roman" w:hAnsi="Times New Roman" w:cs="Times New Roman"/>
          <w:sz w:val="28"/>
          <w:szCs w:val="28"/>
        </w:rPr>
        <w:t>25</w:t>
      </w:r>
      <w:r w:rsidR="006C6E4C" w:rsidRPr="00AE6485">
        <w:rPr>
          <w:rFonts w:ascii="Times New Roman" w:hAnsi="Times New Roman" w:cs="Times New Roman"/>
          <w:sz w:val="28"/>
          <w:szCs w:val="28"/>
        </w:rPr>
        <w:t>.</w:t>
      </w:r>
      <w:r w:rsidR="0083700C" w:rsidRPr="00AE6485">
        <w:rPr>
          <w:rFonts w:ascii="Times New Roman" w:hAnsi="Times New Roman" w:cs="Times New Roman"/>
          <w:sz w:val="28"/>
          <w:szCs w:val="28"/>
        </w:rPr>
        <w:t>11</w:t>
      </w:r>
      <w:r w:rsidR="006C6E4C" w:rsidRPr="00AE6485">
        <w:rPr>
          <w:rFonts w:ascii="Times New Roman" w:hAnsi="Times New Roman" w:cs="Times New Roman"/>
          <w:sz w:val="28"/>
          <w:szCs w:val="28"/>
        </w:rPr>
        <w:t>.202</w:t>
      </w:r>
      <w:r w:rsidR="0083700C" w:rsidRPr="00AE6485">
        <w:rPr>
          <w:rFonts w:ascii="Times New Roman" w:hAnsi="Times New Roman" w:cs="Times New Roman"/>
          <w:sz w:val="28"/>
          <w:szCs w:val="28"/>
        </w:rPr>
        <w:t>2</w:t>
      </w:r>
      <w:r w:rsidR="006C6E4C" w:rsidRPr="00AE6485">
        <w:rPr>
          <w:rFonts w:ascii="Times New Roman" w:hAnsi="Times New Roman" w:cs="Times New Roman"/>
          <w:sz w:val="28"/>
          <w:szCs w:val="28"/>
        </w:rPr>
        <w:t xml:space="preserve"> № </w:t>
      </w:r>
      <w:r w:rsidR="0083700C" w:rsidRPr="00AE6485">
        <w:rPr>
          <w:rFonts w:ascii="Times New Roman" w:hAnsi="Times New Roman" w:cs="Times New Roman"/>
          <w:sz w:val="28"/>
          <w:szCs w:val="28"/>
        </w:rPr>
        <w:t>3994</w:t>
      </w:r>
      <w:r w:rsidRPr="00AE6485">
        <w:rPr>
          <w:rFonts w:ascii="Times New Roman" w:hAnsi="Times New Roman" w:cs="Times New Roman"/>
          <w:sz w:val="28"/>
          <w:szCs w:val="28"/>
        </w:rPr>
        <w:t xml:space="preserve">-ПА «Об утверждении Порядка разработки прогноза социально-экономического развития Городского округа Пушкинский Московской области на </w:t>
      </w:r>
      <w:r w:rsidR="00E35FDC" w:rsidRPr="00AE6485">
        <w:rPr>
          <w:rFonts w:ascii="Times New Roman" w:hAnsi="Times New Roman" w:cs="Times New Roman"/>
          <w:sz w:val="28"/>
          <w:szCs w:val="28"/>
        </w:rPr>
        <w:t>долгосрочный</w:t>
      </w:r>
      <w:r w:rsidRPr="00AE6485">
        <w:rPr>
          <w:rFonts w:ascii="Times New Roman" w:hAnsi="Times New Roman" w:cs="Times New Roman"/>
          <w:sz w:val="28"/>
          <w:szCs w:val="28"/>
        </w:rPr>
        <w:t xml:space="preserve"> период», </w:t>
      </w:r>
      <w:r w:rsidR="00CF2A24" w:rsidRPr="00AE6485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 «Об общих принципах организации местного самоуправления в Российской Федерации»,</w:t>
      </w:r>
      <w:r w:rsidR="0026122E" w:rsidRPr="0026122E">
        <w:t xml:space="preserve"> </w:t>
      </w:r>
      <w:r w:rsidR="0026122E" w:rsidRPr="0026122E">
        <w:rPr>
          <w:rFonts w:ascii="Times New Roman" w:hAnsi="Times New Roman" w:cs="Times New Roman"/>
          <w:sz w:val="28"/>
          <w:szCs w:val="28"/>
        </w:rPr>
        <w:t>Уставом Городского округа Пушкинский Московской области,</w:t>
      </w:r>
      <w:r w:rsidR="00CF2A24" w:rsidRPr="00F90C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A24" w:rsidRPr="00F90CA5" w:rsidRDefault="00CF2A24" w:rsidP="00CF2A2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B164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026F2" w:rsidRPr="0039716A" w:rsidRDefault="00AE6485" w:rsidP="0039716A">
      <w:pPr>
        <w:pStyle w:val="ConsPlusNormal"/>
        <w:numPr>
          <w:ilvl w:val="0"/>
          <w:numId w:val="4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9716A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026F2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Пушкинский Московской области от</w:t>
      </w:r>
      <w:r w:rsidR="005026F2" w:rsidRPr="00F90CA5">
        <w:rPr>
          <w:rFonts w:ascii="Times New Roman" w:hAnsi="Times New Roman" w:cs="Times New Roman"/>
          <w:sz w:val="28"/>
          <w:szCs w:val="28"/>
        </w:rPr>
        <w:t xml:space="preserve"> </w:t>
      </w:r>
      <w:r w:rsidR="005026F2">
        <w:rPr>
          <w:rFonts w:ascii="Times New Roman" w:hAnsi="Times New Roman" w:cs="Times New Roman"/>
          <w:sz w:val="28"/>
          <w:szCs w:val="28"/>
        </w:rPr>
        <w:t>29.12.2021 №1563-ПА «О прогнозе социально-экономического развития Городского округа Пушкинский Московской области на долгосрочный период до 2030 года» (далее – Постановление)</w:t>
      </w:r>
      <w:r w:rsidR="0039716A">
        <w:rPr>
          <w:rFonts w:ascii="Times New Roman" w:hAnsi="Times New Roman" w:cs="Times New Roman"/>
          <w:sz w:val="28"/>
          <w:szCs w:val="28"/>
        </w:rPr>
        <w:t>, изложив</w:t>
      </w:r>
      <w:r w:rsidR="005026F2">
        <w:rPr>
          <w:rFonts w:ascii="Times New Roman" w:hAnsi="Times New Roman" w:cs="Times New Roman"/>
          <w:sz w:val="28"/>
          <w:szCs w:val="28"/>
        </w:rPr>
        <w:t xml:space="preserve"> </w:t>
      </w:r>
      <w:r w:rsidR="0039716A">
        <w:rPr>
          <w:rFonts w:ascii="Times New Roman" w:hAnsi="Times New Roman" w:cs="Times New Roman"/>
          <w:sz w:val="28"/>
          <w:szCs w:val="28"/>
        </w:rPr>
        <w:t>п</w:t>
      </w:r>
      <w:r w:rsidR="005026F2" w:rsidRPr="0039716A">
        <w:rPr>
          <w:rFonts w:ascii="Times New Roman" w:hAnsi="Times New Roman" w:cs="Times New Roman"/>
          <w:sz w:val="28"/>
          <w:szCs w:val="28"/>
        </w:rPr>
        <w:t>ункт 1 в следующей редакции:</w:t>
      </w:r>
    </w:p>
    <w:p w:rsidR="005026F2" w:rsidRDefault="005026F2" w:rsidP="005026F2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Одобрить прогноз социально-экономического развития Городского округа Пушкинский Московской области на долгосрочный период до 2030 года согласно приложению к настоящему постановлению.»</w:t>
      </w:r>
      <w:r w:rsidR="0039716A">
        <w:rPr>
          <w:rFonts w:ascii="Times New Roman" w:hAnsi="Times New Roman" w:cs="Times New Roman"/>
          <w:sz w:val="28"/>
          <w:szCs w:val="28"/>
        </w:rPr>
        <w:t>.</w:t>
      </w:r>
    </w:p>
    <w:p w:rsidR="005026F2" w:rsidRDefault="005026F2" w:rsidP="0039716A">
      <w:pPr>
        <w:pStyle w:val="ConsPlusNormal"/>
        <w:numPr>
          <w:ilvl w:val="0"/>
          <w:numId w:val="4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Прогноз </w:t>
      </w:r>
      <w:r w:rsidRPr="005026F2">
        <w:rPr>
          <w:rFonts w:ascii="Times New Roman" w:hAnsi="Times New Roman" w:cs="Times New Roman"/>
          <w:sz w:val="28"/>
          <w:szCs w:val="28"/>
        </w:rPr>
        <w:t>социально-экономического развития Городского округа Пушкинский Московской области на долгосрочный период до 2030 года</w:t>
      </w:r>
      <w:r w:rsidR="003954B7">
        <w:rPr>
          <w:rFonts w:ascii="Times New Roman" w:hAnsi="Times New Roman" w:cs="Times New Roman"/>
          <w:sz w:val="28"/>
          <w:szCs w:val="28"/>
        </w:rPr>
        <w:t>, утвержденный Постановлением, одобрить в новой редакции согласно приложению к настоящему постановлению.</w:t>
      </w:r>
    </w:p>
    <w:p w:rsidR="00AE6485" w:rsidRDefault="003528D4" w:rsidP="00CF2A24">
      <w:pPr>
        <w:pStyle w:val="ConsPlusNormal"/>
        <w:numPr>
          <w:ilvl w:val="0"/>
          <w:numId w:val="4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E6485">
        <w:rPr>
          <w:rFonts w:ascii="Times New Roman" w:hAnsi="Times New Roman" w:cs="Times New Roman"/>
          <w:sz w:val="28"/>
          <w:szCs w:val="28"/>
        </w:rPr>
        <w:t xml:space="preserve">Управлению делами Администрации Городского округа Пушкинский Московской области (Мещанкина С.В.) опубликовать настоящее постановление и приложение к нему </w:t>
      </w:r>
      <w:r w:rsidR="0083700C" w:rsidRPr="00AE6485">
        <w:rPr>
          <w:rFonts w:ascii="Times New Roman" w:hAnsi="Times New Roman" w:cs="Times New Roman"/>
          <w:sz w:val="28"/>
          <w:szCs w:val="28"/>
        </w:rPr>
        <w:t xml:space="preserve">в газете «ПУШКИНСКОЕ ВРЕМЯ», </w:t>
      </w:r>
      <w:r w:rsidRPr="00AE6485">
        <w:rPr>
          <w:rFonts w:ascii="Times New Roman" w:hAnsi="Times New Roman" w:cs="Times New Roman"/>
          <w:sz w:val="28"/>
          <w:szCs w:val="28"/>
        </w:rPr>
        <w:t>на сайтах www.adm-pushkino.ru, www.new-ivanteevka.org, www.krasnoarm.ru в информационно-телекоммуникационной сети «Интернет».</w:t>
      </w:r>
    </w:p>
    <w:p w:rsidR="00CF2A24" w:rsidRPr="00AE6485" w:rsidRDefault="00CF2A24" w:rsidP="00CF2A24">
      <w:pPr>
        <w:pStyle w:val="ConsPlusNormal"/>
        <w:numPr>
          <w:ilvl w:val="0"/>
          <w:numId w:val="4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E6485">
        <w:rPr>
          <w:rFonts w:ascii="Times New Roman" w:hAnsi="Times New Roman" w:cs="Times New Roman"/>
          <w:sz w:val="28"/>
          <w:szCs w:val="28"/>
        </w:rPr>
        <w:t>Контроль за выполнением на</w:t>
      </w:r>
      <w:r w:rsidR="007A616F" w:rsidRPr="00AE6485">
        <w:rPr>
          <w:rFonts w:ascii="Times New Roman" w:hAnsi="Times New Roman" w:cs="Times New Roman"/>
          <w:sz w:val="28"/>
          <w:szCs w:val="28"/>
        </w:rPr>
        <w:t>стоящего постановления возложить</w:t>
      </w:r>
      <w:r w:rsidRPr="00AE6485">
        <w:rPr>
          <w:rFonts w:ascii="Times New Roman" w:hAnsi="Times New Roman" w:cs="Times New Roman"/>
          <w:sz w:val="28"/>
          <w:szCs w:val="28"/>
        </w:rPr>
        <w:br/>
        <w:t>на первого з</w:t>
      </w:r>
      <w:r w:rsidR="00FB1613" w:rsidRPr="00AE6485">
        <w:rPr>
          <w:rFonts w:ascii="Times New Roman" w:hAnsi="Times New Roman" w:cs="Times New Roman"/>
          <w:sz w:val="28"/>
          <w:szCs w:val="28"/>
        </w:rPr>
        <w:t>аместителя главы Администрации Г</w:t>
      </w:r>
      <w:r w:rsidRPr="00AE6485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Pr="00AE6485">
        <w:rPr>
          <w:rFonts w:ascii="Times New Roman" w:hAnsi="Times New Roman" w:cs="Times New Roman"/>
          <w:sz w:val="28"/>
          <w:szCs w:val="28"/>
        </w:rPr>
        <w:br/>
        <w:t xml:space="preserve">Морозова </w:t>
      </w:r>
      <w:r w:rsidR="003528D4" w:rsidRPr="00AE6485">
        <w:rPr>
          <w:rFonts w:ascii="Times New Roman" w:hAnsi="Times New Roman" w:cs="Times New Roman"/>
          <w:sz w:val="28"/>
          <w:szCs w:val="28"/>
        </w:rPr>
        <w:t>А.В.</w:t>
      </w:r>
    </w:p>
    <w:p w:rsidR="00CF2A24" w:rsidRPr="00F90CA5" w:rsidRDefault="00CF2A24" w:rsidP="00CF2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A24" w:rsidRPr="00F90CA5" w:rsidRDefault="00CF2A24" w:rsidP="00CF2A2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2A24" w:rsidRDefault="00FB1613" w:rsidP="00CF2A2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0CA5">
        <w:rPr>
          <w:rFonts w:ascii="Times New Roman" w:hAnsi="Times New Roman" w:cs="Times New Roman"/>
          <w:b/>
          <w:sz w:val="28"/>
          <w:szCs w:val="28"/>
        </w:rPr>
        <w:t>Глава Г</w:t>
      </w:r>
      <w:r w:rsidR="00CF2A24" w:rsidRPr="00F90CA5">
        <w:rPr>
          <w:rFonts w:ascii="Times New Roman" w:hAnsi="Times New Roman" w:cs="Times New Roman"/>
          <w:b/>
          <w:sz w:val="28"/>
          <w:szCs w:val="28"/>
        </w:rPr>
        <w:t>ородского округа                                                       М.В. Красноцветов</w:t>
      </w:r>
    </w:p>
    <w:p w:rsidR="003954B7" w:rsidRDefault="00AD7991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B7" w:rsidRDefault="003954B7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991" w:rsidRPr="00AD7991" w:rsidRDefault="00AD7991" w:rsidP="003954B7">
      <w:pPr>
        <w:spacing w:after="0" w:line="240" w:lineRule="auto"/>
        <w:ind w:firstLine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Приложение</w:t>
      </w:r>
    </w:p>
    <w:p w:rsidR="00AD7991" w:rsidRPr="00AD7991" w:rsidRDefault="00AD7991" w:rsidP="00AD7991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9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AD7991" w:rsidRPr="00AD7991" w:rsidRDefault="00AD7991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постановлением Администрации </w:t>
      </w:r>
    </w:p>
    <w:p w:rsidR="00AD7991" w:rsidRPr="00AD7991" w:rsidRDefault="00AD7991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Городского округа Пушкинский    </w:t>
      </w:r>
    </w:p>
    <w:p w:rsidR="00AD7991" w:rsidRPr="00AD7991" w:rsidRDefault="00AD7991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Московской области</w:t>
      </w:r>
    </w:p>
    <w:p w:rsidR="00AD7991" w:rsidRPr="00AD7991" w:rsidRDefault="00AD7991" w:rsidP="00AD7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от __________________№_______</w:t>
      </w:r>
    </w:p>
    <w:p w:rsidR="00AD7991" w:rsidRDefault="00AD7991" w:rsidP="00AD7991">
      <w:pPr>
        <w:spacing w:after="0" w:line="240" w:lineRule="auto"/>
        <w:ind w:left="5529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AD7991" w:rsidRDefault="00AD7991" w:rsidP="00AD7991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43F5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РОГНОЗ СОЦИАЛЬНО-ЭКОНОМИЧЕСКОГО РАЗВИТИЯ</w:t>
      </w:r>
    </w:p>
    <w:p w:rsidR="00AD7991" w:rsidRDefault="00AD7991" w:rsidP="00AD7991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округа Пушкинский</w:t>
      </w:r>
      <w:r w:rsidRPr="00243F5B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AD7991" w:rsidRDefault="00AD7991" w:rsidP="00AD7991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7279E">
        <w:rPr>
          <w:rFonts w:ascii="Times New Roman" w:hAnsi="Times New Roman" w:cs="Times New Roman"/>
          <w:b/>
          <w:sz w:val="28"/>
          <w:szCs w:val="28"/>
        </w:rPr>
        <w:t>на долгосрочный период</w:t>
      </w:r>
      <w:r w:rsidRPr="00243F5B">
        <w:rPr>
          <w:rFonts w:ascii="Times New Roman" w:hAnsi="Times New Roman" w:cs="Times New Roman"/>
          <w:b/>
          <w:sz w:val="28"/>
          <w:szCs w:val="28"/>
        </w:rPr>
        <w:t xml:space="preserve"> до 2030 года</w:t>
      </w:r>
    </w:p>
    <w:p w:rsidR="00AD7991" w:rsidRPr="00F270A9" w:rsidRDefault="00AD7991" w:rsidP="00AD7991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D7991" w:rsidRPr="00F270A9" w:rsidRDefault="00AD7991" w:rsidP="00AD7991">
      <w:pPr>
        <w:pStyle w:val="a3"/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97202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A9">
        <w:rPr>
          <w:rFonts w:ascii="Times New Roman" w:hAnsi="Times New Roman" w:cs="Times New Roman"/>
          <w:sz w:val="28"/>
          <w:szCs w:val="28"/>
        </w:rPr>
        <w:t>к прогнозу с</w:t>
      </w:r>
      <w:r>
        <w:rPr>
          <w:rFonts w:ascii="Times New Roman" w:hAnsi="Times New Roman" w:cs="Times New Roman"/>
          <w:sz w:val="28"/>
          <w:szCs w:val="28"/>
        </w:rPr>
        <w:t>оциально-экономического развития Г</w:t>
      </w:r>
      <w:r w:rsidRPr="00F270A9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>
        <w:rPr>
          <w:rFonts w:ascii="Times New Roman" w:hAnsi="Times New Roman" w:cs="Times New Roman"/>
          <w:sz w:val="28"/>
          <w:szCs w:val="28"/>
        </w:rPr>
        <w:t>Пушкинский</w:t>
      </w:r>
      <w:r w:rsidRPr="00F270A9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F270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7991" w:rsidRDefault="00AD7991" w:rsidP="00AD7991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7279E">
        <w:rPr>
          <w:rFonts w:ascii="Times New Roman" w:hAnsi="Times New Roman" w:cs="Times New Roman"/>
          <w:sz w:val="28"/>
          <w:szCs w:val="28"/>
        </w:rPr>
        <w:t>на долгосрочный период</w:t>
      </w:r>
      <w:r w:rsidRPr="00597202">
        <w:rPr>
          <w:rFonts w:ascii="Times New Roman" w:hAnsi="Times New Roman" w:cs="Times New Roman"/>
          <w:sz w:val="28"/>
          <w:szCs w:val="28"/>
        </w:rPr>
        <w:t xml:space="preserve"> до 2030 года</w:t>
      </w:r>
    </w:p>
    <w:p w:rsidR="00AD7991" w:rsidRDefault="00AD7991" w:rsidP="00AD7991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7991" w:rsidRPr="00491994" w:rsidRDefault="00AD7991" w:rsidP="00AD7991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1994">
        <w:rPr>
          <w:rFonts w:ascii="Times New Roman" w:hAnsi="Times New Roman" w:cs="Times New Roman"/>
          <w:sz w:val="28"/>
          <w:szCs w:val="28"/>
        </w:rPr>
        <w:t xml:space="preserve">Настоящий прогноз </w:t>
      </w:r>
      <w:r w:rsidR="00D92ED4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Городского округа Пушкинский Московской области на долгосрочный период до 2030 года (далее – Прогноз) </w:t>
      </w:r>
      <w:r w:rsidRPr="00491994">
        <w:rPr>
          <w:rFonts w:ascii="Times New Roman" w:hAnsi="Times New Roman" w:cs="Times New Roman"/>
          <w:sz w:val="28"/>
          <w:szCs w:val="28"/>
        </w:rPr>
        <w:t>разработан в соответствии с федеральным законодательством, законодательством Московской области и м</w:t>
      </w:r>
      <w:r w:rsidR="00DA0422">
        <w:rPr>
          <w:rFonts w:ascii="Times New Roman" w:hAnsi="Times New Roman" w:cs="Times New Roman"/>
          <w:sz w:val="28"/>
          <w:szCs w:val="28"/>
        </w:rPr>
        <w:t>униципальными правовыми актами Г</w:t>
      </w:r>
      <w:r w:rsidRPr="00491994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DA0422">
        <w:rPr>
          <w:rFonts w:ascii="Times New Roman" w:hAnsi="Times New Roman" w:cs="Times New Roman"/>
          <w:sz w:val="28"/>
          <w:szCs w:val="28"/>
        </w:rPr>
        <w:t xml:space="preserve">Пушкинский </w:t>
      </w:r>
      <w:r w:rsidRPr="00491994">
        <w:rPr>
          <w:rFonts w:ascii="Times New Roman" w:hAnsi="Times New Roman" w:cs="Times New Roman"/>
          <w:sz w:val="28"/>
          <w:szCs w:val="28"/>
        </w:rPr>
        <w:t>Московской области.</w:t>
      </w:r>
    </w:p>
    <w:p w:rsidR="00AD7991" w:rsidRPr="00491994" w:rsidRDefault="00AD7991" w:rsidP="00AD7991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1994">
        <w:rPr>
          <w:rFonts w:ascii="Times New Roman" w:hAnsi="Times New Roman" w:cs="Times New Roman"/>
          <w:sz w:val="28"/>
          <w:szCs w:val="28"/>
        </w:rPr>
        <w:t>Правовой основой для его разработки явились:</w:t>
      </w:r>
    </w:p>
    <w:p w:rsidR="00AD7991" w:rsidRPr="00491994" w:rsidRDefault="00AD7991" w:rsidP="00AD7991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1994"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:rsidR="00AD7991" w:rsidRPr="00491994" w:rsidRDefault="00AD7991" w:rsidP="00AD7991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1994">
        <w:rPr>
          <w:rFonts w:ascii="Times New Roman" w:hAnsi="Times New Roman" w:cs="Times New Roman"/>
          <w:sz w:val="28"/>
          <w:szCs w:val="28"/>
        </w:rPr>
        <w:t>Федеральный закон от 28.06.2014 № 172-ФЗ «О стратегическом планировании в Российской Федерации»;</w:t>
      </w:r>
    </w:p>
    <w:p w:rsidR="00AD7991" w:rsidRPr="00491994" w:rsidRDefault="00AD7991" w:rsidP="00AD7991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1994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AD7991" w:rsidRPr="00491994" w:rsidRDefault="00AD7991" w:rsidP="00AD7991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1994">
        <w:rPr>
          <w:rFonts w:ascii="Times New Roman" w:hAnsi="Times New Roman" w:cs="Times New Roman"/>
          <w:sz w:val="28"/>
          <w:szCs w:val="28"/>
        </w:rPr>
        <w:t>Закон Московской области от 26.02.2015 № 20/2015-ОЗ «О стратегическом планировании социально-экономического развития Московской области»;</w:t>
      </w:r>
    </w:p>
    <w:p w:rsidR="00AD7991" w:rsidRPr="00491994" w:rsidRDefault="00AD7991" w:rsidP="00AD7991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0C1F">
        <w:rPr>
          <w:rFonts w:ascii="Times New Roman" w:hAnsi="Times New Roman" w:cs="Times New Roman"/>
          <w:sz w:val="28"/>
          <w:szCs w:val="28"/>
        </w:rPr>
        <w:t>постановление Правительства Московской области от 29.12.2015 №1397/49 «О Порядке разработки, корректировки, осуществления мониторинга и контроля реализации прогноза социально-экономического развития Московской области на долгосрочный период»;</w:t>
      </w:r>
    </w:p>
    <w:p w:rsidR="00AD7991" w:rsidRPr="00491994" w:rsidRDefault="00DA0422" w:rsidP="00AD7991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0C1F">
        <w:rPr>
          <w:rFonts w:ascii="Times New Roman" w:hAnsi="Times New Roman" w:cs="Times New Roman"/>
          <w:sz w:val="28"/>
          <w:szCs w:val="28"/>
        </w:rPr>
        <w:t>постановление Администрации Г</w:t>
      </w:r>
      <w:r w:rsidR="00AD7991" w:rsidRPr="008B0C1F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Pr="008B0C1F">
        <w:rPr>
          <w:rFonts w:ascii="Times New Roman" w:hAnsi="Times New Roman" w:cs="Times New Roman"/>
          <w:sz w:val="28"/>
          <w:szCs w:val="28"/>
        </w:rPr>
        <w:t>Пушкинский</w:t>
      </w:r>
      <w:r w:rsidR="00AD7991" w:rsidRPr="008B0C1F">
        <w:rPr>
          <w:rFonts w:ascii="Times New Roman" w:hAnsi="Times New Roman" w:cs="Times New Roman"/>
          <w:sz w:val="28"/>
          <w:szCs w:val="28"/>
        </w:rPr>
        <w:t xml:space="preserve"> Московской области от </w:t>
      </w:r>
      <w:r w:rsidR="00AF2068" w:rsidRPr="008B0C1F">
        <w:rPr>
          <w:rFonts w:ascii="Times New Roman" w:hAnsi="Times New Roman" w:cs="Times New Roman"/>
          <w:sz w:val="28"/>
          <w:szCs w:val="28"/>
        </w:rPr>
        <w:t>25</w:t>
      </w:r>
      <w:r w:rsidR="006C6E4C" w:rsidRPr="008B0C1F">
        <w:rPr>
          <w:rFonts w:ascii="Times New Roman" w:hAnsi="Times New Roman" w:cs="Times New Roman"/>
          <w:sz w:val="28"/>
          <w:szCs w:val="28"/>
        </w:rPr>
        <w:t>.</w:t>
      </w:r>
      <w:r w:rsidR="00AF2068" w:rsidRPr="008B0C1F">
        <w:rPr>
          <w:rFonts w:ascii="Times New Roman" w:hAnsi="Times New Roman" w:cs="Times New Roman"/>
          <w:sz w:val="28"/>
          <w:szCs w:val="28"/>
        </w:rPr>
        <w:t>11</w:t>
      </w:r>
      <w:r w:rsidR="006C6E4C" w:rsidRPr="008B0C1F">
        <w:rPr>
          <w:rFonts w:ascii="Times New Roman" w:hAnsi="Times New Roman" w:cs="Times New Roman"/>
          <w:sz w:val="28"/>
          <w:szCs w:val="28"/>
        </w:rPr>
        <w:t>.202</w:t>
      </w:r>
      <w:r w:rsidR="00AF2068" w:rsidRPr="008B0C1F">
        <w:rPr>
          <w:rFonts w:ascii="Times New Roman" w:hAnsi="Times New Roman" w:cs="Times New Roman"/>
          <w:sz w:val="28"/>
          <w:szCs w:val="28"/>
        </w:rPr>
        <w:t>2</w:t>
      </w:r>
      <w:r w:rsidR="006C6E4C" w:rsidRPr="008B0C1F">
        <w:rPr>
          <w:rFonts w:ascii="Times New Roman" w:hAnsi="Times New Roman" w:cs="Times New Roman"/>
          <w:sz w:val="28"/>
          <w:szCs w:val="28"/>
        </w:rPr>
        <w:t xml:space="preserve"> № </w:t>
      </w:r>
      <w:r w:rsidR="00AF2068" w:rsidRPr="008B0C1F">
        <w:rPr>
          <w:rFonts w:ascii="Times New Roman" w:hAnsi="Times New Roman" w:cs="Times New Roman"/>
          <w:sz w:val="28"/>
          <w:szCs w:val="28"/>
        </w:rPr>
        <w:t>3994</w:t>
      </w:r>
      <w:r w:rsidR="006C6E4C" w:rsidRPr="008B0C1F">
        <w:rPr>
          <w:rFonts w:ascii="Times New Roman" w:hAnsi="Times New Roman" w:cs="Times New Roman"/>
          <w:sz w:val="28"/>
          <w:szCs w:val="28"/>
        </w:rPr>
        <w:t xml:space="preserve">-ПА </w:t>
      </w:r>
      <w:r w:rsidR="00AD7991" w:rsidRPr="008B0C1F">
        <w:rPr>
          <w:rFonts w:ascii="Times New Roman" w:hAnsi="Times New Roman" w:cs="Times New Roman"/>
          <w:sz w:val="28"/>
          <w:szCs w:val="28"/>
        </w:rPr>
        <w:t>«О</w:t>
      </w:r>
      <w:r w:rsidR="001A31F9" w:rsidRPr="008B0C1F">
        <w:rPr>
          <w:rFonts w:ascii="Times New Roman" w:hAnsi="Times New Roman" w:cs="Times New Roman"/>
          <w:sz w:val="28"/>
          <w:szCs w:val="28"/>
        </w:rPr>
        <w:t>б утверждении Порядка</w:t>
      </w:r>
      <w:r w:rsidR="00AD7991" w:rsidRPr="008B0C1F">
        <w:rPr>
          <w:rFonts w:ascii="Times New Roman" w:hAnsi="Times New Roman" w:cs="Times New Roman"/>
          <w:sz w:val="28"/>
          <w:szCs w:val="28"/>
        </w:rPr>
        <w:t xml:space="preserve"> разработки прогноза социально-э</w:t>
      </w:r>
      <w:r w:rsidRPr="008B0C1F">
        <w:rPr>
          <w:rFonts w:ascii="Times New Roman" w:hAnsi="Times New Roman" w:cs="Times New Roman"/>
          <w:sz w:val="28"/>
          <w:szCs w:val="28"/>
        </w:rPr>
        <w:t>кономического развития Г</w:t>
      </w:r>
      <w:r w:rsidR="00AD7991" w:rsidRPr="008B0C1F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Pr="008B0C1F">
        <w:rPr>
          <w:rFonts w:ascii="Times New Roman" w:hAnsi="Times New Roman" w:cs="Times New Roman"/>
          <w:sz w:val="28"/>
          <w:szCs w:val="28"/>
        </w:rPr>
        <w:t>Пушкинский</w:t>
      </w:r>
      <w:r w:rsidR="00AD7991" w:rsidRPr="008B0C1F">
        <w:rPr>
          <w:rFonts w:ascii="Times New Roman" w:hAnsi="Times New Roman" w:cs="Times New Roman"/>
          <w:sz w:val="28"/>
          <w:szCs w:val="28"/>
        </w:rPr>
        <w:t xml:space="preserve"> Московской области на долгосрочный период».</w:t>
      </w:r>
    </w:p>
    <w:p w:rsidR="00AD7991" w:rsidRPr="00491994" w:rsidRDefault="00AD7991" w:rsidP="00AD7991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1994">
        <w:rPr>
          <w:rFonts w:ascii="Times New Roman" w:hAnsi="Times New Roman" w:cs="Times New Roman"/>
          <w:sz w:val="28"/>
          <w:szCs w:val="28"/>
        </w:rPr>
        <w:t>Разработка прогноза осуществлялась на базе статистических данных, информации хозя</w:t>
      </w:r>
      <w:r w:rsidR="00DA0422">
        <w:rPr>
          <w:rFonts w:ascii="Times New Roman" w:hAnsi="Times New Roman" w:cs="Times New Roman"/>
          <w:sz w:val="28"/>
          <w:szCs w:val="28"/>
        </w:rPr>
        <w:t>йствующих субъектов за 20</w:t>
      </w:r>
      <w:r w:rsidR="00254726">
        <w:rPr>
          <w:rFonts w:ascii="Times New Roman" w:hAnsi="Times New Roman" w:cs="Times New Roman"/>
          <w:sz w:val="28"/>
          <w:szCs w:val="28"/>
        </w:rPr>
        <w:t>2</w:t>
      </w:r>
      <w:r w:rsidR="00AF2068">
        <w:rPr>
          <w:rFonts w:ascii="Times New Roman" w:hAnsi="Times New Roman" w:cs="Times New Roman"/>
          <w:sz w:val="28"/>
          <w:szCs w:val="28"/>
        </w:rPr>
        <w:t>1</w:t>
      </w:r>
      <w:r w:rsidR="00DA0422">
        <w:rPr>
          <w:rFonts w:ascii="Times New Roman" w:hAnsi="Times New Roman" w:cs="Times New Roman"/>
          <w:sz w:val="28"/>
          <w:szCs w:val="28"/>
        </w:rPr>
        <w:t>-202</w:t>
      </w:r>
      <w:r w:rsidR="00AF2068">
        <w:rPr>
          <w:rFonts w:ascii="Times New Roman" w:hAnsi="Times New Roman" w:cs="Times New Roman"/>
          <w:sz w:val="28"/>
          <w:szCs w:val="28"/>
        </w:rPr>
        <w:t>2</w:t>
      </w:r>
      <w:r w:rsidRPr="00491994">
        <w:rPr>
          <w:rFonts w:ascii="Times New Roman" w:hAnsi="Times New Roman" w:cs="Times New Roman"/>
          <w:sz w:val="28"/>
          <w:szCs w:val="28"/>
        </w:rPr>
        <w:t xml:space="preserve"> годы с учетом тенденций </w:t>
      </w:r>
      <w:r w:rsidR="00684DD6">
        <w:rPr>
          <w:rFonts w:ascii="Times New Roman" w:hAnsi="Times New Roman" w:cs="Times New Roman"/>
          <w:sz w:val="28"/>
          <w:szCs w:val="28"/>
        </w:rPr>
        <w:br/>
      </w:r>
      <w:r w:rsidRPr="00491994">
        <w:rPr>
          <w:rFonts w:ascii="Times New Roman" w:hAnsi="Times New Roman" w:cs="Times New Roman"/>
          <w:sz w:val="28"/>
          <w:szCs w:val="28"/>
        </w:rPr>
        <w:t>и текущих итогов соц</w:t>
      </w:r>
      <w:r w:rsidR="00DA0422">
        <w:rPr>
          <w:rFonts w:ascii="Times New Roman" w:hAnsi="Times New Roman" w:cs="Times New Roman"/>
          <w:sz w:val="28"/>
          <w:szCs w:val="28"/>
        </w:rPr>
        <w:t>иально-экономического развития Г</w:t>
      </w:r>
      <w:r w:rsidRPr="00491994">
        <w:rPr>
          <w:rFonts w:ascii="Times New Roman" w:hAnsi="Times New Roman" w:cs="Times New Roman"/>
          <w:sz w:val="28"/>
          <w:szCs w:val="28"/>
        </w:rPr>
        <w:t>ородского округа</w:t>
      </w:r>
      <w:r w:rsidR="00DA0422" w:rsidRPr="00DA0422">
        <w:t xml:space="preserve"> </w:t>
      </w:r>
      <w:r w:rsidR="00DA0422" w:rsidRPr="00DA0422">
        <w:rPr>
          <w:rFonts w:ascii="Times New Roman" w:hAnsi="Times New Roman" w:cs="Times New Roman"/>
          <w:sz w:val="28"/>
          <w:szCs w:val="28"/>
        </w:rPr>
        <w:t>Пушкинский Московской области</w:t>
      </w:r>
      <w:r w:rsidR="00DA0422">
        <w:rPr>
          <w:rFonts w:ascii="Times New Roman" w:hAnsi="Times New Roman" w:cs="Times New Roman"/>
          <w:sz w:val="28"/>
          <w:szCs w:val="28"/>
        </w:rPr>
        <w:t xml:space="preserve"> (далее – Городской округ)</w:t>
      </w:r>
      <w:r w:rsidRPr="00491994">
        <w:rPr>
          <w:rFonts w:ascii="Times New Roman" w:hAnsi="Times New Roman" w:cs="Times New Roman"/>
          <w:sz w:val="28"/>
          <w:szCs w:val="28"/>
        </w:rPr>
        <w:t xml:space="preserve">, </w:t>
      </w:r>
      <w:r w:rsidR="0039716A" w:rsidRPr="0039716A">
        <w:rPr>
          <w:rFonts w:ascii="Times New Roman" w:hAnsi="Times New Roman" w:cs="Times New Roman"/>
          <w:sz w:val="28"/>
          <w:szCs w:val="28"/>
        </w:rPr>
        <w:t>без учета итогов Всероссийской переписи населения 2020 года, которая прошла в октябре-ноябре 2021 года</w:t>
      </w:r>
      <w:r w:rsidR="0039716A">
        <w:rPr>
          <w:rFonts w:ascii="Times New Roman" w:hAnsi="Times New Roman" w:cs="Times New Roman"/>
          <w:sz w:val="28"/>
          <w:szCs w:val="28"/>
        </w:rPr>
        <w:t xml:space="preserve">, </w:t>
      </w:r>
      <w:r w:rsidRPr="00491994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DA0422">
        <w:rPr>
          <w:rFonts w:ascii="Times New Roman" w:hAnsi="Times New Roman" w:cs="Times New Roman"/>
          <w:sz w:val="28"/>
          <w:szCs w:val="28"/>
        </w:rPr>
        <w:t>вариантов прогноза социально-</w:t>
      </w:r>
      <w:r w:rsidR="00DA0422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</w:t>
      </w:r>
      <w:r w:rsidR="001A31F9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Pr="00491994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1A31F9">
        <w:rPr>
          <w:rFonts w:ascii="Times New Roman" w:hAnsi="Times New Roman" w:cs="Times New Roman"/>
          <w:sz w:val="28"/>
          <w:szCs w:val="28"/>
        </w:rPr>
        <w:t xml:space="preserve"> и Городского округа на среднесрочный период</w:t>
      </w:r>
      <w:r w:rsidR="00DA042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54726">
        <w:rPr>
          <w:rFonts w:ascii="Times New Roman" w:hAnsi="Times New Roman" w:cs="Times New Roman"/>
          <w:sz w:val="28"/>
          <w:szCs w:val="28"/>
        </w:rPr>
        <w:t>3</w:t>
      </w:r>
      <w:r w:rsidR="00DA0422">
        <w:rPr>
          <w:rFonts w:ascii="Times New Roman" w:hAnsi="Times New Roman" w:cs="Times New Roman"/>
          <w:sz w:val="28"/>
          <w:szCs w:val="28"/>
        </w:rPr>
        <w:t>-202</w:t>
      </w:r>
      <w:r w:rsidR="00254726">
        <w:rPr>
          <w:rFonts w:ascii="Times New Roman" w:hAnsi="Times New Roman" w:cs="Times New Roman"/>
          <w:sz w:val="28"/>
          <w:szCs w:val="28"/>
        </w:rPr>
        <w:t>5</w:t>
      </w:r>
      <w:r w:rsidR="00DA042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491994">
        <w:rPr>
          <w:rFonts w:ascii="Times New Roman" w:hAnsi="Times New Roman" w:cs="Times New Roman"/>
          <w:sz w:val="28"/>
          <w:szCs w:val="28"/>
        </w:rPr>
        <w:t>, индексов-дефляторов цен, разработанных Минэкономразвития России.</w:t>
      </w:r>
    </w:p>
    <w:p w:rsidR="00AD7991" w:rsidRPr="00491994" w:rsidRDefault="00AD7991" w:rsidP="00AD7991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1994">
        <w:rPr>
          <w:rFonts w:ascii="Times New Roman" w:hAnsi="Times New Roman" w:cs="Times New Roman"/>
          <w:sz w:val="28"/>
          <w:szCs w:val="28"/>
        </w:rPr>
        <w:t xml:space="preserve">Разработка настоящего прогноза </w:t>
      </w:r>
      <w:r>
        <w:rPr>
          <w:rFonts w:ascii="Times New Roman" w:hAnsi="Times New Roman" w:cs="Times New Roman"/>
          <w:sz w:val="28"/>
          <w:szCs w:val="28"/>
        </w:rPr>
        <w:t>проведена с учетом вероятностных о</w:t>
      </w:r>
      <w:r w:rsidRPr="00491994">
        <w:rPr>
          <w:rFonts w:ascii="Times New Roman" w:hAnsi="Times New Roman" w:cs="Times New Roman"/>
          <w:sz w:val="28"/>
          <w:szCs w:val="28"/>
        </w:rPr>
        <w:t>ценок по двум вариантам:</w:t>
      </w:r>
    </w:p>
    <w:p w:rsidR="001A31F9" w:rsidRPr="0079628B" w:rsidRDefault="001A31F9" w:rsidP="0079628B">
      <w:pPr>
        <w:shd w:val="clear" w:color="auto" w:fill="FFFFFF" w:themeFill="background1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628B">
        <w:rPr>
          <w:rFonts w:ascii="Times New Roman" w:hAnsi="Times New Roman" w:cs="Times New Roman"/>
          <w:sz w:val="28"/>
          <w:szCs w:val="28"/>
        </w:rPr>
        <w:t xml:space="preserve">- первый вариант долгосрочного прогноза разрабатывается на основе консервативных оценок темпов экономического роста с учетом </w:t>
      </w:r>
      <w:r w:rsidR="0079628B" w:rsidRPr="0079628B">
        <w:rPr>
          <w:rFonts w:ascii="Times New Roman" w:hAnsi="Times New Roman" w:cs="Times New Roman"/>
          <w:sz w:val="28"/>
          <w:szCs w:val="28"/>
        </w:rPr>
        <w:t>возможности ухудшения</w:t>
      </w:r>
      <w:r w:rsidRPr="0079628B">
        <w:rPr>
          <w:rFonts w:ascii="Times New Roman" w:hAnsi="Times New Roman" w:cs="Times New Roman"/>
          <w:sz w:val="28"/>
          <w:szCs w:val="28"/>
        </w:rPr>
        <w:t xml:space="preserve"> внешнеэкономических условий;</w:t>
      </w:r>
    </w:p>
    <w:p w:rsidR="0079628B" w:rsidRPr="0079628B" w:rsidRDefault="001A31F9" w:rsidP="0079628B">
      <w:pPr>
        <w:shd w:val="clear" w:color="auto" w:fill="FFFFFF" w:themeFill="background1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628B">
        <w:rPr>
          <w:rFonts w:ascii="Times New Roman" w:hAnsi="Times New Roman" w:cs="Times New Roman"/>
          <w:sz w:val="28"/>
          <w:szCs w:val="28"/>
        </w:rPr>
        <w:t>- второй вариант</w:t>
      </w:r>
      <w:r w:rsidR="0079628B" w:rsidRPr="0079628B">
        <w:rPr>
          <w:rFonts w:ascii="Times New Roman" w:hAnsi="Times New Roman" w:cs="Times New Roman"/>
          <w:sz w:val="28"/>
          <w:szCs w:val="28"/>
        </w:rPr>
        <w:t xml:space="preserve"> (базовый)</w:t>
      </w:r>
      <w:r w:rsidRPr="0079628B">
        <w:rPr>
          <w:rFonts w:ascii="Times New Roman" w:hAnsi="Times New Roman" w:cs="Times New Roman"/>
          <w:sz w:val="28"/>
          <w:szCs w:val="28"/>
        </w:rPr>
        <w:t xml:space="preserve"> долгосрочного прогноза характеризует основные тенденции и параметры развития экономики в условиях консервативн</w:t>
      </w:r>
      <w:r w:rsidR="0079628B" w:rsidRPr="0079628B">
        <w:rPr>
          <w:rFonts w:ascii="Times New Roman" w:hAnsi="Times New Roman" w:cs="Times New Roman"/>
          <w:sz w:val="28"/>
          <w:szCs w:val="28"/>
        </w:rPr>
        <w:t>ого</w:t>
      </w:r>
      <w:r w:rsidRPr="0079628B">
        <w:rPr>
          <w:rFonts w:ascii="Times New Roman" w:hAnsi="Times New Roman" w:cs="Times New Roman"/>
          <w:sz w:val="28"/>
          <w:szCs w:val="28"/>
        </w:rPr>
        <w:t xml:space="preserve"> изменения внешних </w:t>
      </w:r>
      <w:r w:rsidR="0079628B" w:rsidRPr="0079628B">
        <w:rPr>
          <w:rFonts w:ascii="Times New Roman" w:hAnsi="Times New Roman" w:cs="Times New Roman"/>
          <w:sz w:val="28"/>
          <w:szCs w:val="28"/>
        </w:rPr>
        <w:t xml:space="preserve">условий. </w:t>
      </w:r>
    </w:p>
    <w:p w:rsidR="00AD7991" w:rsidRPr="00491994" w:rsidRDefault="00AD7991" w:rsidP="00AD7991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628B">
        <w:rPr>
          <w:rFonts w:ascii="Times New Roman" w:hAnsi="Times New Roman" w:cs="Times New Roman"/>
          <w:sz w:val="28"/>
          <w:szCs w:val="28"/>
        </w:rPr>
        <w:t>Настоящий прогноз отдельных показателей разработан с учетом</w:t>
      </w:r>
      <w:r w:rsidRPr="008B0C1F">
        <w:rPr>
          <w:rFonts w:ascii="Times New Roman" w:hAnsi="Times New Roman" w:cs="Times New Roman"/>
          <w:sz w:val="28"/>
          <w:szCs w:val="28"/>
        </w:rPr>
        <w:t xml:space="preserve"> реализации положений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</w:t>
      </w:r>
      <w:r w:rsidR="001A31F9" w:rsidRPr="008B0C1F">
        <w:rPr>
          <w:rFonts w:ascii="Times New Roman" w:hAnsi="Times New Roman" w:cs="Times New Roman"/>
          <w:sz w:val="28"/>
          <w:szCs w:val="28"/>
        </w:rPr>
        <w:t>, от 21.07.2020 № 474 «О национальных целях Российской Федерации на период до 2030 года»</w:t>
      </w:r>
      <w:r w:rsidRPr="008B0C1F">
        <w:rPr>
          <w:rFonts w:ascii="Times New Roman" w:hAnsi="Times New Roman" w:cs="Times New Roman"/>
          <w:sz w:val="28"/>
          <w:szCs w:val="28"/>
        </w:rPr>
        <w:t>.</w:t>
      </w:r>
    </w:p>
    <w:p w:rsidR="001A31F9" w:rsidRPr="001A31F9" w:rsidRDefault="001A31F9" w:rsidP="001A31F9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A31F9">
        <w:rPr>
          <w:rFonts w:ascii="Times New Roman" w:hAnsi="Times New Roman" w:cs="Times New Roman"/>
          <w:sz w:val="28"/>
          <w:szCs w:val="28"/>
        </w:rPr>
        <w:t>Городской округ – муниципальное образование в Московской области, сформированное путем объединения территорий муниципальных образований городской округ Ивантеевка</w:t>
      </w:r>
      <w:r w:rsidR="00D92ED4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1A31F9">
        <w:rPr>
          <w:rFonts w:ascii="Times New Roman" w:hAnsi="Times New Roman" w:cs="Times New Roman"/>
          <w:sz w:val="28"/>
          <w:szCs w:val="28"/>
        </w:rPr>
        <w:t xml:space="preserve">, городской округ Красноармейск </w:t>
      </w:r>
      <w:r w:rsidR="00D92ED4" w:rsidRPr="00D92ED4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1A31F9">
        <w:rPr>
          <w:rFonts w:ascii="Times New Roman" w:hAnsi="Times New Roman" w:cs="Times New Roman"/>
          <w:sz w:val="28"/>
          <w:szCs w:val="28"/>
        </w:rPr>
        <w:t xml:space="preserve">и Пушкинский городской округ </w:t>
      </w:r>
      <w:r w:rsidR="00684DD6">
        <w:rPr>
          <w:rFonts w:ascii="Times New Roman" w:hAnsi="Times New Roman" w:cs="Times New Roman"/>
          <w:sz w:val="28"/>
          <w:szCs w:val="28"/>
        </w:rPr>
        <w:br/>
      </w:r>
      <w:r w:rsidR="00D92ED4" w:rsidRPr="00D92ED4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1A31F9">
        <w:rPr>
          <w:rFonts w:ascii="Times New Roman" w:hAnsi="Times New Roman" w:cs="Times New Roman"/>
          <w:sz w:val="28"/>
          <w:szCs w:val="28"/>
        </w:rPr>
        <w:t>в 2020 году и включающее 90 населенных пунктов.</w:t>
      </w:r>
    </w:p>
    <w:p w:rsidR="001A31F9" w:rsidRDefault="001A31F9" w:rsidP="001A31F9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A31F9">
        <w:rPr>
          <w:rFonts w:ascii="Times New Roman" w:hAnsi="Times New Roman" w:cs="Times New Roman"/>
          <w:sz w:val="28"/>
          <w:szCs w:val="28"/>
        </w:rPr>
        <w:t>Городской округ принадлежит к числу муниципальных образований М</w:t>
      </w:r>
      <w:r w:rsidR="00F913B1">
        <w:rPr>
          <w:rFonts w:ascii="Times New Roman" w:hAnsi="Times New Roman" w:cs="Times New Roman"/>
          <w:sz w:val="28"/>
          <w:szCs w:val="28"/>
        </w:rPr>
        <w:t>осковской области, располагающих</w:t>
      </w:r>
      <w:r w:rsidRPr="001A31F9">
        <w:rPr>
          <w:rFonts w:ascii="Times New Roman" w:hAnsi="Times New Roman" w:cs="Times New Roman"/>
          <w:sz w:val="28"/>
          <w:szCs w:val="28"/>
        </w:rPr>
        <w:t xml:space="preserve"> хорошим производственным потенциалом, развитой сферой обслуживания, богатой спортивной, культурной и образовательной инфраструктурой.</w:t>
      </w:r>
    </w:p>
    <w:p w:rsidR="00AD7991" w:rsidRPr="00BC4961" w:rsidRDefault="00AD7991" w:rsidP="00BC4961">
      <w:pPr>
        <w:spacing w:after="0" w:line="240" w:lineRule="auto"/>
        <w:ind w:firstLine="708"/>
        <w:contextualSpacing/>
        <w:jc w:val="both"/>
        <w:outlineLvl w:val="0"/>
      </w:pPr>
      <w:r w:rsidRPr="00491994">
        <w:rPr>
          <w:rFonts w:ascii="Times New Roman" w:hAnsi="Times New Roman" w:cs="Times New Roman"/>
          <w:sz w:val="28"/>
          <w:szCs w:val="28"/>
        </w:rPr>
        <w:t>Достигнутые результаты являются сти</w:t>
      </w:r>
      <w:r w:rsidR="001A31F9">
        <w:rPr>
          <w:rFonts w:ascii="Times New Roman" w:hAnsi="Times New Roman" w:cs="Times New Roman"/>
          <w:sz w:val="28"/>
          <w:szCs w:val="28"/>
        </w:rPr>
        <w:t>мулом для дальнейшего развития Г</w:t>
      </w:r>
      <w:r w:rsidRPr="00491994">
        <w:rPr>
          <w:rFonts w:ascii="Times New Roman" w:hAnsi="Times New Roman" w:cs="Times New Roman"/>
          <w:sz w:val="28"/>
          <w:szCs w:val="28"/>
        </w:rPr>
        <w:t xml:space="preserve">ородского округа, что учитывается в </w:t>
      </w:r>
      <w:r w:rsidRPr="00A66219">
        <w:rPr>
          <w:rFonts w:ascii="Times New Roman" w:hAnsi="Times New Roman" w:cs="Times New Roman"/>
          <w:sz w:val="28"/>
          <w:szCs w:val="28"/>
        </w:rPr>
        <w:t>19 муниципальных программах</w:t>
      </w:r>
      <w:r w:rsidRPr="00491994">
        <w:rPr>
          <w:rFonts w:ascii="Times New Roman" w:hAnsi="Times New Roman" w:cs="Times New Roman"/>
          <w:sz w:val="28"/>
          <w:szCs w:val="28"/>
        </w:rPr>
        <w:t xml:space="preserve"> по социально-экономическим направлениям</w:t>
      </w:r>
      <w:r w:rsidR="00684DD6" w:rsidRPr="00684DD6">
        <w:t xml:space="preserve"> </w:t>
      </w:r>
      <w:r w:rsidR="00684DD6" w:rsidRPr="00684DD6">
        <w:rPr>
          <w:rFonts w:ascii="Times New Roman" w:hAnsi="Times New Roman" w:cs="Times New Roman"/>
          <w:sz w:val="28"/>
          <w:szCs w:val="28"/>
        </w:rPr>
        <w:t xml:space="preserve">и </w:t>
      </w:r>
      <w:r w:rsidR="00684DD6">
        <w:rPr>
          <w:rFonts w:ascii="Times New Roman" w:hAnsi="Times New Roman" w:cs="Times New Roman"/>
          <w:sz w:val="28"/>
          <w:szCs w:val="28"/>
        </w:rPr>
        <w:t>участии</w:t>
      </w:r>
      <w:r w:rsidR="00684DD6" w:rsidRPr="00684DD6">
        <w:rPr>
          <w:rFonts w:ascii="Times New Roman" w:hAnsi="Times New Roman" w:cs="Times New Roman"/>
          <w:sz w:val="28"/>
          <w:szCs w:val="28"/>
        </w:rPr>
        <w:t xml:space="preserve"> в реализации национальных проектов «Жилье и городская среда», </w:t>
      </w:r>
      <w:r w:rsidR="00684DD6" w:rsidRPr="00991E34">
        <w:rPr>
          <w:rFonts w:ascii="Times New Roman" w:hAnsi="Times New Roman" w:cs="Times New Roman"/>
          <w:sz w:val="28"/>
          <w:szCs w:val="28"/>
        </w:rPr>
        <w:t>«Здравоохранение»,</w:t>
      </w:r>
      <w:r w:rsidR="00684DD6" w:rsidRPr="00684DD6">
        <w:rPr>
          <w:rFonts w:ascii="Times New Roman" w:hAnsi="Times New Roman" w:cs="Times New Roman"/>
          <w:sz w:val="28"/>
          <w:szCs w:val="28"/>
        </w:rPr>
        <w:t xml:space="preserve"> «Культура», «Образование», </w:t>
      </w:r>
      <w:r w:rsidR="00991E34">
        <w:rPr>
          <w:rFonts w:ascii="Times New Roman" w:hAnsi="Times New Roman" w:cs="Times New Roman"/>
          <w:sz w:val="28"/>
          <w:szCs w:val="28"/>
        </w:rPr>
        <w:t>«Демография»</w:t>
      </w:r>
      <w:r w:rsidRPr="00991E34">
        <w:rPr>
          <w:rFonts w:ascii="Times New Roman" w:hAnsi="Times New Roman" w:cs="Times New Roman"/>
          <w:sz w:val="28"/>
          <w:szCs w:val="28"/>
        </w:rPr>
        <w:t>.</w:t>
      </w:r>
    </w:p>
    <w:p w:rsidR="00AD7991" w:rsidRDefault="001A31F9" w:rsidP="00AD7991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</w:t>
      </w:r>
      <w:r w:rsidR="00AD7991" w:rsidRPr="00491994">
        <w:rPr>
          <w:rFonts w:ascii="Times New Roman" w:hAnsi="Times New Roman" w:cs="Times New Roman"/>
          <w:sz w:val="28"/>
          <w:szCs w:val="28"/>
        </w:rPr>
        <w:t xml:space="preserve">ородском </w:t>
      </w:r>
      <w:r w:rsidR="00AD7991">
        <w:rPr>
          <w:rFonts w:ascii="Times New Roman" w:hAnsi="Times New Roman" w:cs="Times New Roman"/>
          <w:sz w:val="28"/>
          <w:szCs w:val="28"/>
        </w:rPr>
        <w:t xml:space="preserve">округе </w:t>
      </w:r>
      <w:r w:rsidR="00AD7991" w:rsidRPr="00491994">
        <w:rPr>
          <w:rFonts w:ascii="Times New Roman" w:hAnsi="Times New Roman" w:cs="Times New Roman"/>
          <w:sz w:val="28"/>
          <w:szCs w:val="28"/>
        </w:rPr>
        <w:t xml:space="preserve">создаются условия для инвестирования, в том числе </w:t>
      </w:r>
      <w:r w:rsidR="00AD7991">
        <w:rPr>
          <w:rFonts w:ascii="Times New Roman" w:hAnsi="Times New Roman" w:cs="Times New Roman"/>
          <w:sz w:val="28"/>
          <w:szCs w:val="28"/>
        </w:rPr>
        <w:br/>
      </w:r>
      <w:r w:rsidR="00AD7991" w:rsidRPr="00491994">
        <w:rPr>
          <w:rFonts w:ascii="Times New Roman" w:hAnsi="Times New Roman" w:cs="Times New Roman"/>
          <w:sz w:val="28"/>
          <w:szCs w:val="28"/>
        </w:rPr>
        <w:t>в производственную сферу, активно ведется строительство объектов социальной инфраструктуры, сохраняется тенденция по расширению видов и сфер деятельности малого и среднего предпринимательства, что обеспечивает динамику экономических процессов.</w:t>
      </w:r>
    </w:p>
    <w:p w:rsidR="00AD7991" w:rsidRPr="00597202" w:rsidRDefault="00AD7991" w:rsidP="00AD7991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7991" w:rsidRPr="007002B1" w:rsidRDefault="00AD7991" w:rsidP="00AD799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B1">
        <w:rPr>
          <w:rFonts w:ascii="Times New Roman" w:hAnsi="Times New Roman" w:cs="Times New Roman"/>
          <w:b/>
          <w:sz w:val="28"/>
          <w:szCs w:val="28"/>
        </w:rPr>
        <w:t>Демографические показатели</w:t>
      </w:r>
    </w:p>
    <w:p w:rsidR="00B2100F" w:rsidRPr="00CE4D0A" w:rsidRDefault="00B2100F" w:rsidP="00B2100F">
      <w:pPr>
        <w:spacing w:after="0" w:line="240" w:lineRule="auto"/>
        <w:ind w:firstLine="783"/>
        <w:jc w:val="both"/>
        <w:rPr>
          <w:rFonts w:ascii="Times New Roman" w:hAnsi="Times New Roman"/>
          <w:sz w:val="28"/>
          <w:szCs w:val="28"/>
        </w:rPr>
      </w:pPr>
      <w:r w:rsidRPr="00CE4D0A">
        <w:rPr>
          <w:rFonts w:ascii="Times New Roman" w:hAnsi="Times New Roman"/>
          <w:sz w:val="28"/>
          <w:szCs w:val="28"/>
        </w:rPr>
        <w:t xml:space="preserve">Динамика общей численности населения отражает закономерности </w:t>
      </w:r>
      <w:r w:rsidRPr="00CE4D0A">
        <w:rPr>
          <w:rFonts w:ascii="Times New Roman" w:hAnsi="Times New Roman"/>
          <w:sz w:val="28"/>
          <w:szCs w:val="28"/>
        </w:rPr>
        <w:br/>
        <w:t xml:space="preserve">в тенденциях формирования его возрастной структуры, естественного воспроизводства и миграционного движения населения, сложившегося </w:t>
      </w:r>
      <w:r w:rsidRPr="00CE4D0A">
        <w:rPr>
          <w:rFonts w:ascii="Times New Roman" w:hAnsi="Times New Roman"/>
          <w:sz w:val="28"/>
          <w:szCs w:val="28"/>
        </w:rPr>
        <w:br/>
        <w:t>в Городском округе.</w:t>
      </w:r>
    </w:p>
    <w:p w:rsidR="00B2100F" w:rsidRPr="00CE4D0A" w:rsidRDefault="00B2100F" w:rsidP="00B2100F">
      <w:pPr>
        <w:spacing w:after="0" w:line="240" w:lineRule="auto"/>
        <w:ind w:firstLine="783"/>
        <w:jc w:val="both"/>
        <w:rPr>
          <w:rFonts w:ascii="Times New Roman" w:hAnsi="Times New Roman"/>
          <w:sz w:val="28"/>
          <w:szCs w:val="28"/>
        </w:rPr>
      </w:pPr>
      <w:r w:rsidRPr="00CE4D0A">
        <w:rPr>
          <w:rFonts w:ascii="Times New Roman" w:hAnsi="Times New Roman"/>
          <w:sz w:val="28"/>
          <w:szCs w:val="28"/>
        </w:rPr>
        <w:t xml:space="preserve">Городской округ занимает шестое место по численности населения </w:t>
      </w:r>
      <w:r w:rsidRPr="00CE4D0A">
        <w:rPr>
          <w:rFonts w:ascii="Times New Roman" w:hAnsi="Times New Roman"/>
          <w:sz w:val="28"/>
          <w:szCs w:val="28"/>
        </w:rPr>
        <w:br/>
        <w:t>в Московской облас</w:t>
      </w:r>
      <w:r w:rsidR="00FF5FDB">
        <w:rPr>
          <w:rFonts w:ascii="Times New Roman" w:hAnsi="Times New Roman"/>
          <w:sz w:val="28"/>
          <w:szCs w:val="28"/>
        </w:rPr>
        <w:t xml:space="preserve">ти, в котором проживает более 4% </w:t>
      </w:r>
      <w:r w:rsidRPr="00CE4D0A">
        <w:rPr>
          <w:rFonts w:ascii="Times New Roman" w:hAnsi="Times New Roman"/>
          <w:sz w:val="28"/>
          <w:szCs w:val="28"/>
        </w:rPr>
        <w:t>населения региона.</w:t>
      </w:r>
      <w:r w:rsidR="005A18F5">
        <w:rPr>
          <w:rFonts w:ascii="Times New Roman" w:hAnsi="Times New Roman"/>
          <w:sz w:val="28"/>
          <w:szCs w:val="28"/>
        </w:rPr>
        <w:t xml:space="preserve"> </w:t>
      </w:r>
      <w:r w:rsidR="00F5575B" w:rsidRPr="00F5575B">
        <w:rPr>
          <w:rFonts w:ascii="Times New Roman" w:hAnsi="Times New Roman"/>
          <w:sz w:val="28"/>
          <w:szCs w:val="28"/>
        </w:rPr>
        <w:t>Без учета В</w:t>
      </w:r>
      <w:r w:rsidR="005A18F5">
        <w:rPr>
          <w:rFonts w:ascii="Times New Roman" w:hAnsi="Times New Roman"/>
          <w:sz w:val="28"/>
          <w:szCs w:val="28"/>
        </w:rPr>
        <w:t xml:space="preserve">сероссийской переписи населения </w:t>
      </w:r>
      <w:r w:rsidR="00F5575B" w:rsidRPr="00F5575B">
        <w:rPr>
          <w:rFonts w:ascii="Times New Roman" w:hAnsi="Times New Roman"/>
          <w:sz w:val="28"/>
          <w:szCs w:val="28"/>
        </w:rPr>
        <w:t xml:space="preserve">на территории Городского округа </w:t>
      </w:r>
      <w:r w:rsidR="005A18F5">
        <w:rPr>
          <w:rFonts w:ascii="Times New Roman" w:hAnsi="Times New Roman"/>
          <w:sz w:val="28"/>
          <w:szCs w:val="28"/>
        </w:rPr>
        <w:t xml:space="preserve">            </w:t>
      </w:r>
      <w:r w:rsidR="00F5575B" w:rsidRPr="00F5575B">
        <w:rPr>
          <w:rFonts w:ascii="Times New Roman" w:hAnsi="Times New Roman"/>
          <w:sz w:val="28"/>
          <w:szCs w:val="28"/>
        </w:rPr>
        <w:lastRenderedPageBreak/>
        <w:t>по состоянию на 01.01.2022</w:t>
      </w:r>
      <w:r w:rsidR="00693922">
        <w:rPr>
          <w:rFonts w:ascii="Times New Roman" w:hAnsi="Times New Roman"/>
          <w:sz w:val="28"/>
          <w:szCs w:val="28"/>
        </w:rPr>
        <w:t xml:space="preserve"> </w:t>
      </w:r>
      <w:r w:rsidR="00F5575B" w:rsidRPr="00F5575B">
        <w:rPr>
          <w:rFonts w:ascii="Times New Roman" w:hAnsi="Times New Roman"/>
          <w:sz w:val="28"/>
          <w:szCs w:val="28"/>
        </w:rPr>
        <w:t>проживали 290551 человек, в том числе городское насел</w:t>
      </w:r>
      <w:r w:rsidR="00A35E73">
        <w:rPr>
          <w:rFonts w:ascii="Times New Roman" w:hAnsi="Times New Roman"/>
          <w:sz w:val="28"/>
          <w:szCs w:val="28"/>
        </w:rPr>
        <w:t xml:space="preserve">ение – 267999 человек (или 92% </w:t>
      </w:r>
      <w:r w:rsidR="00F5575B" w:rsidRPr="00F5575B">
        <w:rPr>
          <w:rFonts w:ascii="Times New Roman" w:hAnsi="Times New Roman"/>
          <w:sz w:val="28"/>
          <w:szCs w:val="28"/>
        </w:rPr>
        <w:t>от общей численности населения), сельское население – 22552 человека (или 8%</w:t>
      </w:r>
      <w:r w:rsidR="00A35E73">
        <w:rPr>
          <w:rFonts w:ascii="Times New Roman" w:hAnsi="Times New Roman"/>
          <w:sz w:val="28"/>
          <w:szCs w:val="28"/>
        </w:rPr>
        <w:t xml:space="preserve"> </w:t>
      </w:r>
      <w:r w:rsidR="00A35E73" w:rsidRPr="00F5575B">
        <w:rPr>
          <w:rFonts w:ascii="Times New Roman" w:hAnsi="Times New Roman"/>
          <w:sz w:val="28"/>
          <w:szCs w:val="28"/>
        </w:rPr>
        <w:t>от общей численности населения</w:t>
      </w:r>
      <w:r w:rsidR="00F5575B" w:rsidRPr="00F5575B">
        <w:rPr>
          <w:rFonts w:ascii="Times New Roman" w:hAnsi="Times New Roman"/>
          <w:sz w:val="28"/>
          <w:szCs w:val="28"/>
        </w:rPr>
        <w:t>). Население Городского округа увеличилось на 0,7% по сравнению  с предыдущим годом.</w:t>
      </w:r>
      <w:r w:rsidR="00F5575B">
        <w:rPr>
          <w:rFonts w:ascii="Times New Roman" w:hAnsi="Times New Roman"/>
          <w:sz w:val="28"/>
          <w:szCs w:val="28"/>
        </w:rPr>
        <w:t xml:space="preserve"> </w:t>
      </w:r>
      <w:r w:rsidR="00F5575B" w:rsidRPr="00F5575B">
        <w:rPr>
          <w:rFonts w:ascii="Times New Roman" w:hAnsi="Times New Roman"/>
          <w:sz w:val="28"/>
          <w:szCs w:val="28"/>
        </w:rPr>
        <w:t>По предварительным итогам Всероссийской переписи населения 2020 года численность населения Городского округа на 01.10.2021</w:t>
      </w:r>
      <w:r w:rsidR="00693922">
        <w:rPr>
          <w:rFonts w:ascii="Times New Roman" w:hAnsi="Times New Roman"/>
          <w:sz w:val="28"/>
          <w:szCs w:val="28"/>
        </w:rPr>
        <w:t xml:space="preserve"> </w:t>
      </w:r>
      <w:r w:rsidR="00F5575B" w:rsidRPr="00F5575B">
        <w:rPr>
          <w:rFonts w:ascii="Times New Roman" w:hAnsi="Times New Roman"/>
          <w:sz w:val="28"/>
          <w:szCs w:val="28"/>
        </w:rPr>
        <w:t>составила 299385 человек.</w:t>
      </w:r>
      <w:r w:rsidR="00F5575B">
        <w:rPr>
          <w:rFonts w:ascii="Times New Roman" w:hAnsi="Times New Roman"/>
          <w:sz w:val="28"/>
          <w:szCs w:val="28"/>
        </w:rPr>
        <w:t xml:space="preserve"> </w:t>
      </w:r>
    </w:p>
    <w:p w:rsidR="00B2100F" w:rsidRPr="00CE4D0A" w:rsidRDefault="00B2100F" w:rsidP="00B2100F">
      <w:pPr>
        <w:spacing w:after="0" w:line="240" w:lineRule="auto"/>
        <w:ind w:firstLine="783"/>
        <w:jc w:val="both"/>
        <w:rPr>
          <w:rFonts w:ascii="Times New Roman" w:hAnsi="Times New Roman"/>
          <w:sz w:val="28"/>
          <w:szCs w:val="28"/>
        </w:rPr>
      </w:pPr>
      <w:r w:rsidRPr="00CE4D0A">
        <w:rPr>
          <w:rFonts w:ascii="Times New Roman" w:hAnsi="Times New Roman"/>
          <w:sz w:val="28"/>
          <w:szCs w:val="28"/>
        </w:rPr>
        <w:t xml:space="preserve">Демографическая ситуация в Городском округе в 2022 году характеризуется естественной убылью населения. </w:t>
      </w:r>
    </w:p>
    <w:p w:rsidR="00B2100F" w:rsidRPr="005A15FC" w:rsidRDefault="005A18F5" w:rsidP="00B2100F">
      <w:pPr>
        <w:spacing w:after="0" w:line="240" w:lineRule="auto"/>
        <w:ind w:firstLine="7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по оценке в Городском округе</w:t>
      </w:r>
      <w:r w:rsidR="00B2100F" w:rsidRPr="00CE4D0A">
        <w:rPr>
          <w:rFonts w:ascii="Times New Roman" w:hAnsi="Times New Roman"/>
          <w:sz w:val="28"/>
          <w:szCs w:val="28"/>
        </w:rPr>
        <w:t xml:space="preserve"> количество родившихся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B2100F" w:rsidRPr="00CE4D0A">
        <w:rPr>
          <w:rFonts w:ascii="Times New Roman" w:hAnsi="Times New Roman"/>
          <w:sz w:val="28"/>
          <w:szCs w:val="28"/>
        </w:rPr>
        <w:t>по сравнению с уровнем предыдущего года снизится на 1,6% и составит 2841 человек</w:t>
      </w:r>
      <w:r w:rsidR="00B2100F" w:rsidRPr="00AC3C7C">
        <w:rPr>
          <w:rFonts w:ascii="Times New Roman" w:hAnsi="Times New Roman"/>
          <w:sz w:val="28"/>
          <w:szCs w:val="28"/>
        </w:rPr>
        <w:t xml:space="preserve">; количество умерших снизится на 21,2% и составит 3732 человека. </w:t>
      </w:r>
      <w:r w:rsidR="00F5575B" w:rsidRPr="00F5575B">
        <w:rPr>
          <w:rFonts w:ascii="Times New Roman" w:hAnsi="Times New Roman"/>
          <w:sz w:val="28"/>
          <w:szCs w:val="28"/>
        </w:rPr>
        <w:t>В 2023 году развитие смертельных осложнений после перенесенной инфекции COVID-19 повлечет увеличение смертности, а далее тенденция незначительного снижения смертности с учетом мероприятий вакцинопрофилактики от COVID-2019</w:t>
      </w:r>
      <w:r w:rsidR="00F5575B">
        <w:rPr>
          <w:rFonts w:ascii="Times New Roman" w:hAnsi="Times New Roman"/>
          <w:sz w:val="28"/>
          <w:szCs w:val="28"/>
        </w:rPr>
        <w:t xml:space="preserve">. </w:t>
      </w:r>
      <w:r w:rsidR="00B2100F" w:rsidRPr="00E158B7">
        <w:rPr>
          <w:rFonts w:ascii="Times New Roman" w:hAnsi="Times New Roman"/>
          <w:sz w:val="28"/>
          <w:szCs w:val="28"/>
        </w:rPr>
        <w:t>Снижение уровня рождаемости</w:t>
      </w:r>
      <w:r w:rsidR="00B2100F">
        <w:rPr>
          <w:rFonts w:ascii="Times New Roman" w:hAnsi="Times New Roman"/>
          <w:sz w:val="28"/>
          <w:szCs w:val="28"/>
        </w:rPr>
        <w:t xml:space="preserve"> </w:t>
      </w:r>
      <w:r w:rsidR="00B2100F" w:rsidRPr="00E158B7">
        <w:rPr>
          <w:rFonts w:ascii="Times New Roman" w:hAnsi="Times New Roman"/>
          <w:sz w:val="28"/>
          <w:szCs w:val="28"/>
        </w:rPr>
        <w:t>в 202</w:t>
      </w:r>
      <w:r w:rsidR="00B2100F">
        <w:rPr>
          <w:rFonts w:ascii="Times New Roman" w:hAnsi="Times New Roman"/>
          <w:sz w:val="28"/>
          <w:szCs w:val="28"/>
        </w:rPr>
        <w:t>2</w:t>
      </w:r>
      <w:r w:rsidR="00B2100F" w:rsidRPr="00E158B7">
        <w:rPr>
          <w:rFonts w:ascii="Times New Roman" w:hAnsi="Times New Roman"/>
          <w:sz w:val="28"/>
          <w:szCs w:val="28"/>
        </w:rPr>
        <w:t xml:space="preserve"> году </w:t>
      </w:r>
      <w:r w:rsidR="00B2100F">
        <w:rPr>
          <w:rFonts w:ascii="Times New Roman" w:hAnsi="Times New Roman"/>
          <w:sz w:val="28"/>
          <w:szCs w:val="28"/>
        </w:rPr>
        <w:t xml:space="preserve">связано </w:t>
      </w:r>
      <w:r w:rsidR="00B2100F" w:rsidRPr="00C90124">
        <w:rPr>
          <w:rFonts w:ascii="Times New Roman" w:hAnsi="Times New Roman"/>
          <w:sz w:val="28"/>
          <w:szCs w:val="28"/>
        </w:rPr>
        <w:t>со снижением числа ж</w:t>
      </w:r>
      <w:r w:rsidR="00F5575B">
        <w:rPr>
          <w:rFonts w:ascii="Times New Roman" w:hAnsi="Times New Roman"/>
          <w:sz w:val="28"/>
          <w:szCs w:val="28"/>
        </w:rPr>
        <w:t>енщин репродуктивного возраста, так называемой «</w:t>
      </w:r>
      <w:r w:rsidR="00B2100F" w:rsidRPr="00C90124">
        <w:rPr>
          <w:rFonts w:ascii="Times New Roman" w:hAnsi="Times New Roman"/>
          <w:sz w:val="28"/>
          <w:szCs w:val="28"/>
        </w:rPr>
        <w:t>демографическ</w:t>
      </w:r>
      <w:r w:rsidR="00F5575B">
        <w:rPr>
          <w:rFonts w:ascii="Times New Roman" w:hAnsi="Times New Roman"/>
          <w:sz w:val="28"/>
          <w:szCs w:val="28"/>
        </w:rPr>
        <w:t>ой</w:t>
      </w:r>
      <w:r w:rsidR="00B2100F" w:rsidRPr="00C90124">
        <w:rPr>
          <w:rFonts w:ascii="Times New Roman" w:hAnsi="Times New Roman"/>
          <w:sz w:val="28"/>
          <w:szCs w:val="28"/>
        </w:rPr>
        <w:t xml:space="preserve"> ям</w:t>
      </w:r>
      <w:r w:rsidR="00F5575B">
        <w:rPr>
          <w:rFonts w:ascii="Times New Roman" w:hAnsi="Times New Roman"/>
          <w:sz w:val="28"/>
          <w:szCs w:val="28"/>
        </w:rPr>
        <w:t>ой»</w:t>
      </w:r>
      <w:r w:rsidR="00B2100F" w:rsidRPr="00C90124">
        <w:rPr>
          <w:rFonts w:ascii="Times New Roman" w:hAnsi="Times New Roman"/>
          <w:sz w:val="28"/>
          <w:szCs w:val="28"/>
        </w:rPr>
        <w:t xml:space="preserve"> 90-х годов, </w:t>
      </w:r>
      <w:r w:rsidR="00B2100F" w:rsidRPr="00E158B7">
        <w:rPr>
          <w:rFonts w:ascii="Times New Roman" w:hAnsi="Times New Roman"/>
          <w:sz w:val="28"/>
          <w:szCs w:val="28"/>
        </w:rPr>
        <w:t>откладывани</w:t>
      </w:r>
      <w:r w:rsidR="00F5575B">
        <w:rPr>
          <w:rFonts w:ascii="Times New Roman" w:hAnsi="Times New Roman"/>
          <w:sz w:val="28"/>
          <w:szCs w:val="28"/>
        </w:rPr>
        <w:t>ем</w:t>
      </w:r>
      <w:r w:rsidR="00B2100F" w:rsidRPr="00E158B7">
        <w:rPr>
          <w:rFonts w:ascii="Times New Roman" w:hAnsi="Times New Roman"/>
          <w:sz w:val="28"/>
          <w:szCs w:val="28"/>
        </w:rPr>
        <w:t xml:space="preserve"> планирования беременности</w:t>
      </w:r>
      <w:r w:rsidR="00B2100F">
        <w:rPr>
          <w:rFonts w:ascii="Times New Roman" w:hAnsi="Times New Roman"/>
          <w:sz w:val="28"/>
          <w:szCs w:val="28"/>
        </w:rPr>
        <w:t xml:space="preserve"> в условиях </w:t>
      </w:r>
      <w:r w:rsidR="00B2100F">
        <w:rPr>
          <w:rFonts w:ascii="Times New Roman" w:hAnsi="Times New Roman"/>
          <w:sz w:val="28"/>
          <w:szCs w:val="28"/>
          <w:lang w:val="en-US"/>
        </w:rPr>
        <w:t>COVID</w:t>
      </w:r>
      <w:r w:rsidR="00B2100F" w:rsidRPr="00126F5B">
        <w:rPr>
          <w:rFonts w:ascii="Times New Roman" w:hAnsi="Times New Roman"/>
          <w:sz w:val="28"/>
          <w:szCs w:val="28"/>
        </w:rPr>
        <w:t>-2019</w:t>
      </w:r>
      <w:r w:rsidR="00B2100F" w:rsidRPr="00E158B7">
        <w:rPr>
          <w:rFonts w:ascii="Times New Roman" w:hAnsi="Times New Roman"/>
          <w:sz w:val="28"/>
          <w:szCs w:val="28"/>
        </w:rPr>
        <w:t>, а также нестабильност</w:t>
      </w:r>
      <w:r w:rsidR="00F5575B">
        <w:rPr>
          <w:rFonts w:ascii="Times New Roman" w:hAnsi="Times New Roman"/>
          <w:sz w:val="28"/>
          <w:szCs w:val="28"/>
        </w:rPr>
        <w:t>ью</w:t>
      </w:r>
      <w:r w:rsidR="00B2100F" w:rsidRPr="00E158B7">
        <w:rPr>
          <w:rFonts w:ascii="Times New Roman" w:hAnsi="Times New Roman"/>
          <w:sz w:val="28"/>
          <w:szCs w:val="28"/>
        </w:rPr>
        <w:t xml:space="preserve"> экономической ситуации, опасени</w:t>
      </w:r>
      <w:r w:rsidR="00F5575B">
        <w:rPr>
          <w:rFonts w:ascii="Times New Roman" w:hAnsi="Times New Roman"/>
          <w:sz w:val="28"/>
          <w:szCs w:val="28"/>
        </w:rPr>
        <w:t>ем</w:t>
      </w:r>
      <w:r w:rsidR="00B2100F" w:rsidRPr="00E158B7">
        <w:rPr>
          <w:rFonts w:ascii="Times New Roman" w:hAnsi="Times New Roman"/>
          <w:sz w:val="28"/>
          <w:szCs w:val="28"/>
        </w:rPr>
        <w:t xml:space="preserve"> по поводу ухудшения уровня жизни.</w:t>
      </w:r>
      <w:r w:rsidR="00B2100F">
        <w:rPr>
          <w:rFonts w:ascii="Times New Roman" w:hAnsi="Times New Roman"/>
          <w:sz w:val="28"/>
          <w:szCs w:val="28"/>
        </w:rPr>
        <w:t xml:space="preserve"> К концу прогнозируемого периода сохранится тенденция естественной убыли населения.</w:t>
      </w:r>
    </w:p>
    <w:p w:rsidR="005A18F5" w:rsidRDefault="00B2100F" w:rsidP="00A35E73">
      <w:pPr>
        <w:spacing w:after="0" w:line="240" w:lineRule="auto"/>
        <w:ind w:firstLine="783"/>
        <w:jc w:val="both"/>
        <w:rPr>
          <w:rFonts w:ascii="Times New Roman" w:hAnsi="Times New Roman"/>
          <w:sz w:val="28"/>
          <w:szCs w:val="28"/>
        </w:rPr>
      </w:pPr>
      <w:r w:rsidRPr="005A15FC">
        <w:rPr>
          <w:rFonts w:ascii="Times New Roman" w:hAnsi="Times New Roman"/>
          <w:sz w:val="28"/>
          <w:szCs w:val="28"/>
        </w:rPr>
        <w:t>Городской округ является привлекательным для улучшения качества жизни и наличия возможностей для трудоустройства</w:t>
      </w:r>
      <w:r>
        <w:rPr>
          <w:rFonts w:ascii="Times New Roman" w:hAnsi="Times New Roman"/>
          <w:sz w:val="28"/>
          <w:szCs w:val="28"/>
        </w:rPr>
        <w:t xml:space="preserve">, а также по </w:t>
      </w:r>
      <w:r w:rsidRPr="005A15FC">
        <w:rPr>
          <w:rFonts w:ascii="Times New Roman" w:hAnsi="Times New Roman"/>
          <w:sz w:val="28"/>
          <w:szCs w:val="28"/>
        </w:rPr>
        <w:t xml:space="preserve">причине географического </w:t>
      </w:r>
      <w:r>
        <w:rPr>
          <w:rFonts w:ascii="Times New Roman" w:hAnsi="Times New Roman"/>
          <w:sz w:val="28"/>
          <w:szCs w:val="28"/>
        </w:rPr>
        <w:t>пристоличного положения</w:t>
      </w:r>
      <w:r w:rsidRPr="005A15FC">
        <w:rPr>
          <w:rFonts w:ascii="Times New Roman" w:hAnsi="Times New Roman"/>
          <w:sz w:val="28"/>
          <w:szCs w:val="28"/>
        </w:rPr>
        <w:t>. Поэтому объективным и основным</w:t>
      </w:r>
      <w:r w:rsidR="0027158C">
        <w:rPr>
          <w:rFonts w:ascii="Times New Roman" w:hAnsi="Times New Roman"/>
          <w:sz w:val="28"/>
          <w:szCs w:val="28"/>
        </w:rPr>
        <w:t xml:space="preserve"> </w:t>
      </w:r>
      <w:r w:rsidRPr="005A15FC">
        <w:rPr>
          <w:rFonts w:ascii="Times New Roman" w:hAnsi="Times New Roman"/>
          <w:sz w:val="28"/>
          <w:szCs w:val="28"/>
        </w:rPr>
        <w:t>фактором прироста численности населения является миграционный прирост населения.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4F1A">
        <w:rPr>
          <w:rFonts w:ascii="Times New Roman" w:hAnsi="Times New Roman"/>
          <w:sz w:val="28"/>
          <w:szCs w:val="28"/>
        </w:rPr>
        <w:t xml:space="preserve">Однако начало </w:t>
      </w:r>
      <w:r>
        <w:rPr>
          <w:rFonts w:ascii="Times New Roman" w:hAnsi="Times New Roman"/>
          <w:sz w:val="28"/>
          <w:szCs w:val="28"/>
        </w:rPr>
        <w:t xml:space="preserve">специальной </w:t>
      </w:r>
      <w:r w:rsidRPr="00F54F1A">
        <w:rPr>
          <w:rFonts w:ascii="Times New Roman" w:hAnsi="Times New Roman"/>
          <w:sz w:val="28"/>
          <w:szCs w:val="28"/>
        </w:rPr>
        <w:t xml:space="preserve">военной операции </w:t>
      </w:r>
      <w:r w:rsidR="00571416">
        <w:rPr>
          <w:rFonts w:ascii="Times New Roman" w:hAnsi="Times New Roman"/>
          <w:sz w:val="28"/>
          <w:szCs w:val="28"/>
        </w:rPr>
        <w:t>России</w:t>
      </w:r>
      <w:r w:rsidRPr="00F54F1A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территории</w:t>
      </w:r>
      <w:r w:rsidRPr="00F54F1A">
        <w:rPr>
          <w:rFonts w:ascii="Times New Roman" w:hAnsi="Times New Roman"/>
          <w:sz w:val="28"/>
          <w:szCs w:val="28"/>
        </w:rPr>
        <w:t xml:space="preserve"> Украин</w:t>
      </w:r>
      <w:r>
        <w:rPr>
          <w:rFonts w:ascii="Times New Roman" w:hAnsi="Times New Roman"/>
          <w:sz w:val="28"/>
          <w:szCs w:val="28"/>
        </w:rPr>
        <w:t>ы</w:t>
      </w:r>
      <w:r w:rsidRPr="00F54F1A">
        <w:rPr>
          <w:rFonts w:ascii="Times New Roman" w:hAnsi="Times New Roman"/>
          <w:sz w:val="28"/>
          <w:szCs w:val="28"/>
        </w:rPr>
        <w:t xml:space="preserve"> и введенные иностранными государствами санкционные ограничения повлияли на снижение миграционного прироста.</w:t>
      </w:r>
      <w:r w:rsidR="00A35E73">
        <w:rPr>
          <w:rFonts w:ascii="Times New Roman" w:hAnsi="Times New Roman"/>
          <w:sz w:val="28"/>
          <w:szCs w:val="28"/>
        </w:rPr>
        <w:t xml:space="preserve"> </w:t>
      </w:r>
      <w:r w:rsidRPr="00E158B7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E158B7">
        <w:rPr>
          <w:rFonts w:ascii="Times New Roman" w:hAnsi="Times New Roman"/>
          <w:sz w:val="28"/>
          <w:szCs w:val="28"/>
        </w:rPr>
        <w:t xml:space="preserve"> году по оценке миграционный прирост </w:t>
      </w:r>
      <w:r>
        <w:rPr>
          <w:rFonts w:ascii="Times New Roman" w:hAnsi="Times New Roman"/>
          <w:sz w:val="28"/>
          <w:szCs w:val="28"/>
        </w:rPr>
        <w:t xml:space="preserve">уменьшится </w:t>
      </w:r>
      <w:r w:rsidR="005A18F5">
        <w:rPr>
          <w:rFonts w:ascii="Times New Roman" w:hAnsi="Times New Roman"/>
          <w:sz w:val="28"/>
          <w:szCs w:val="28"/>
        </w:rPr>
        <w:t>до</w:t>
      </w:r>
      <w:r w:rsidRPr="00E158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830</w:t>
      </w:r>
      <w:r w:rsidRPr="00E158B7">
        <w:rPr>
          <w:rFonts w:ascii="Times New Roman" w:hAnsi="Times New Roman"/>
          <w:sz w:val="28"/>
          <w:szCs w:val="28"/>
        </w:rPr>
        <w:t xml:space="preserve"> человек</w:t>
      </w:r>
      <w:r w:rsidR="005A18F5">
        <w:rPr>
          <w:rFonts w:ascii="Times New Roman" w:hAnsi="Times New Roman"/>
          <w:sz w:val="28"/>
          <w:szCs w:val="28"/>
        </w:rPr>
        <w:t>.</w:t>
      </w:r>
      <w:r w:rsidR="00693922">
        <w:rPr>
          <w:rFonts w:ascii="Times New Roman" w:hAnsi="Times New Roman"/>
          <w:sz w:val="28"/>
          <w:szCs w:val="28"/>
        </w:rPr>
        <w:t xml:space="preserve"> </w:t>
      </w:r>
      <w:r w:rsidR="005A18F5">
        <w:rPr>
          <w:rFonts w:ascii="Times New Roman" w:hAnsi="Times New Roman"/>
          <w:sz w:val="28"/>
          <w:szCs w:val="28"/>
        </w:rPr>
        <w:t xml:space="preserve"> Дальнейший рост </w:t>
      </w:r>
      <w:r w:rsidR="005A18F5" w:rsidRPr="005A18F5">
        <w:rPr>
          <w:rFonts w:ascii="Times New Roman" w:hAnsi="Times New Roman"/>
          <w:sz w:val="28"/>
          <w:szCs w:val="28"/>
        </w:rPr>
        <w:t xml:space="preserve">миграционных притоков </w:t>
      </w:r>
      <w:r w:rsidR="005A18F5">
        <w:rPr>
          <w:rFonts w:ascii="Times New Roman" w:hAnsi="Times New Roman"/>
          <w:sz w:val="28"/>
          <w:szCs w:val="28"/>
        </w:rPr>
        <w:t xml:space="preserve">на территорию Городского округа </w:t>
      </w:r>
      <w:r w:rsidR="005A18F5" w:rsidRPr="005A18F5">
        <w:rPr>
          <w:rFonts w:ascii="Times New Roman" w:hAnsi="Times New Roman"/>
          <w:sz w:val="28"/>
          <w:szCs w:val="28"/>
        </w:rPr>
        <w:t xml:space="preserve">в прогнозируемом периоде </w:t>
      </w:r>
      <w:r w:rsidR="005A18F5">
        <w:rPr>
          <w:rFonts w:ascii="Times New Roman" w:hAnsi="Times New Roman"/>
          <w:sz w:val="28"/>
          <w:szCs w:val="28"/>
        </w:rPr>
        <w:t xml:space="preserve">будет обеспечен </w:t>
      </w:r>
      <w:r w:rsidR="005A18F5" w:rsidRPr="005A18F5">
        <w:rPr>
          <w:rFonts w:ascii="Times New Roman" w:hAnsi="Times New Roman"/>
          <w:sz w:val="28"/>
          <w:szCs w:val="28"/>
        </w:rPr>
        <w:t>эвакуационны</w:t>
      </w:r>
      <w:r w:rsidR="005A18F5">
        <w:rPr>
          <w:rFonts w:ascii="Times New Roman" w:hAnsi="Times New Roman"/>
          <w:sz w:val="28"/>
          <w:szCs w:val="28"/>
        </w:rPr>
        <w:t>ми</w:t>
      </w:r>
      <w:r w:rsidR="005A18F5" w:rsidRPr="005A18F5">
        <w:rPr>
          <w:rFonts w:ascii="Times New Roman" w:hAnsi="Times New Roman"/>
          <w:sz w:val="28"/>
          <w:szCs w:val="28"/>
        </w:rPr>
        <w:t xml:space="preserve"> мер</w:t>
      </w:r>
      <w:r w:rsidR="005A18F5">
        <w:rPr>
          <w:rFonts w:ascii="Times New Roman" w:hAnsi="Times New Roman"/>
          <w:sz w:val="28"/>
          <w:szCs w:val="28"/>
        </w:rPr>
        <w:t xml:space="preserve">ами </w:t>
      </w:r>
      <w:r w:rsidR="005A18F5" w:rsidRPr="005A18F5">
        <w:rPr>
          <w:rFonts w:ascii="Times New Roman" w:hAnsi="Times New Roman"/>
          <w:sz w:val="28"/>
          <w:szCs w:val="28"/>
        </w:rPr>
        <w:t>из зоны боевых действий</w:t>
      </w:r>
      <w:r w:rsidR="005A18F5">
        <w:rPr>
          <w:rFonts w:ascii="Times New Roman" w:hAnsi="Times New Roman"/>
          <w:sz w:val="28"/>
          <w:szCs w:val="28"/>
        </w:rPr>
        <w:t xml:space="preserve">, </w:t>
      </w:r>
      <w:r w:rsidR="00571416">
        <w:rPr>
          <w:rFonts w:ascii="Times New Roman" w:hAnsi="Times New Roman"/>
          <w:sz w:val="28"/>
          <w:szCs w:val="28"/>
        </w:rPr>
        <w:br/>
      </w:r>
      <w:r w:rsidR="005A18F5">
        <w:rPr>
          <w:rFonts w:ascii="Times New Roman" w:hAnsi="Times New Roman"/>
          <w:sz w:val="28"/>
          <w:szCs w:val="28"/>
        </w:rPr>
        <w:t>в соответ</w:t>
      </w:r>
      <w:r w:rsidR="00571416">
        <w:rPr>
          <w:rFonts w:ascii="Times New Roman" w:hAnsi="Times New Roman"/>
          <w:sz w:val="28"/>
          <w:szCs w:val="28"/>
        </w:rPr>
        <w:t xml:space="preserve">ствии </w:t>
      </w:r>
      <w:r w:rsidR="005A18F5">
        <w:rPr>
          <w:rFonts w:ascii="Times New Roman" w:hAnsi="Times New Roman"/>
          <w:sz w:val="28"/>
          <w:szCs w:val="28"/>
        </w:rPr>
        <w:t>с З</w:t>
      </w:r>
      <w:r w:rsidRPr="000F1DC1">
        <w:rPr>
          <w:rFonts w:ascii="Times New Roman" w:hAnsi="Times New Roman"/>
          <w:sz w:val="28"/>
          <w:szCs w:val="28"/>
        </w:rPr>
        <w:t>акон</w:t>
      </w:r>
      <w:r w:rsidR="005A18F5">
        <w:rPr>
          <w:rFonts w:ascii="Times New Roman" w:hAnsi="Times New Roman"/>
          <w:sz w:val="28"/>
          <w:szCs w:val="28"/>
        </w:rPr>
        <w:t xml:space="preserve">ами </w:t>
      </w:r>
      <w:r w:rsidRPr="000F1DC1">
        <w:rPr>
          <w:rFonts w:ascii="Times New Roman" w:hAnsi="Times New Roman"/>
          <w:sz w:val="28"/>
          <w:szCs w:val="28"/>
        </w:rPr>
        <w:t xml:space="preserve"> о принятии в </w:t>
      </w:r>
      <w:r w:rsidR="00A35E73">
        <w:rPr>
          <w:rFonts w:ascii="Times New Roman" w:hAnsi="Times New Roman"/>
          <w:sz w:val="28"/>
          <w:szCs w:val="28"/>
        </w:rPr>
        <w:t>Российскую Федерацию</w:t>
      </w:r>
      <w:r w:rsidRPr="000F1DC1">
        <w:rPr>
          <w:rFonts w:ascii="Times New Roman" w:hAnsi="Times New Roman"/>
          <w:sz w:val="28"/>
          <w:szCs w:val="28"/>
        </w:rPr>
        <w:t xml:space="preserve"> Донецкой и Луганской народных республик, За</w:t>
      </w:r>
      <w:r>
        <w:rPr>
          <w:rFonts w:ascii="Times New Roman" w:hAnsi="Times New Roman"/>
          <w:sz w:val="28"/>
          <w:szCs w:val="28"/>
        </w:rPr>
        <w:t>порожской и Херсонской областей</w:t>
      </w:r>
      <w:r w:rsidR="005A18F5">
        <w:rPr>
          <w:rFonts w:ascii="Times New Roman" w:hAnsi="Times New Roman"/>
          <w:sz w:val="28"/>
          <w:szCs w:val="28"/>
        </w:rPr>
        <w:t>.</w:t>
      </w:r>
    </w:p>
    <w:p w:rsidR="00B2100F" w:rsidRPr="005A15FC" w:rsidRDefault="00B2100F" w:rsidP="00B2100F">
      <w:pPr>
        <w:spacing w:after="0" w:line="240" w:lineRule="auto"/>
        <w:ind w:firstLine="7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Нивелировать</w:t>
      </w:r>
      <w:r w:rsidRPr="005A15FC">
        <w:rPr>
          <w:rFonts w:ascii="Times New Roman" w:hAnsi="Times New Roman"/>
          <w:sz w:val="28"/>
          <w:szCs w:val="28"/>
        </w:rPr>
        <w:t xml:space="preserve"> негативные демографические тенденции помогут меры, направленные на улучшение социально-экономического уровня жизни населения, и меры, способствующие укреплению традиционных ценностей семьи и здорового образа жизни, пропаганды семейных ценностей среди населения, формирования ответственного отношения людей к своему здоровью и здорового образа жизни населения через реализацию здоровьесберегающих мероприятий.</w:t>
      </w:r>
    </w:p>
    <w:p w:rsidR="00B2100F" w:rsidRPr="00A91B25" w:rsidRDefault="00B2100F" w:rsidP="00B2100F">
      <w:pPr>
        <w:spacing w:after="0" w:line="240" w:lineRule="auto"/>
        <w:ind w:firstLine="7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населения Г</w:t>
      </w:r>
      <w:r w:rsidRPr="005A15FC">
        <w:rPr>
          <w:rFonts w:ascii="Times New Roman" w:hAnsi="Times New Roman"/>
          <w:sz w:val="28"/>
          <w:szCs w:val="28"/>
        </w:rPr>
        <w:t xml:space="preserve">ородского округа </w:t>
      </w:r>
      <w:r>
        <w:rPr>
          <w:rFonts w:ascii="Times New Roman" w:hAnsi="Times New Roman"/>
          <w:sz w:val="28"/>
          <w:szCs w:val="28"/>
        </w:rPr>
        <w:t xml:space="preserve">будет расти и </w:t>
      </w:r>
      <w:r w:rsidR="00245A70">
        <w:rPr>
          <w:rFonts w:ascii="Times New Roman" w:hAnsi="Times New Roman"/>
          <w:sz w:val="28"/>
          <w:szCs w:val="28"/>
        </w:rPr>
        <w:t>составит почти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245A70">
        <w:rPr>
          <w:rFonts w:ascii="Times New Roman" w:hAnsi="Times New Roman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 xml:space="preserve"> тыс. человек к 2030 году</w:t>
      </w:r>
      <w:r w:rsidRPr="005A15FC">
        <w:rPr>
          <w:rFonts w:ascii="Times New Roman" w:hAnsi="Times New Roman"/>
          <w:sz w:val="28"/>
          <w:szCs w:val="28"/>
        </w:rPr>
        <w:t>.</w:t>
      </w:r>
    </w:p>
    <w:p w:rsidR="007002B1" w:rsidRPr="00A91B25" w:rsidRDefault="007002B1" w:rsidP="00B2100F">
      <w:pPr>
        <w:spacing w:after="0" w:line="240" w:lineRule="auto"/>
        <w:ind w:firstLine="783"/>
        <w:jc w:val="both"/>
        <w:rPr>
          <w:rFonts w:ascii="Times New Roman" w:hAnsi="Times New Roman"/>
          <w:sz w:val="28"/>
          <w:szCs w:val="28"/>
        </w:rPr>
      </w:pPr>
    </w:p>
    <w:p w:rsidR="00B2100F" w:rsidRDefault="00B2100F" w:rsidP="00B2100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D7991" w:rsidRPr="007002B1" w:rsidRDefault="00AD7991" w:rsidP="00AD799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B1">
        <w:rPr>
          <w:rFonts w:ascii="Times New Roman" w:hAnsi="Times New Roman" w:cs="Times New Roman"/>
          <w:b/>
          <w:sz w:val="28"/>
          <w:szCs w:val="28"/>
        </w:rPr>
        <w:t>Промышленное производство</w:t>
      </w:r>
    </w:p>
    <w:p w:rsidR="00794E22" w:rsidRPr="00794E22" w:rsidRDefault="00794E22" w:rsidP="00794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22">
        <w:rPr>
          <w:rFonts w:ascii="Times New Roman" w:hAnsi="Times New Roman" w:cs="Times New Roman"/>
          <w:sz w:val="28"/>
          <w:szCs w:val="28"/>
        </w:rPr>
        <w:t>Прогноз промышленного производства сформирован с учетом выявленных тенденций, фактического уровня использования производственных мощностей, анализа спроса на промышленную продукцию.</w:t>
      </w:r>
    </w:p>
    <w:p w:rsidR="00794E22" w:rsidRDefault="00794E22" w:rsidP="00113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22">
        <w:rPr>
          <w:rFonts w:ascii="Times New Roman" w:hAnsi="Times New Roman" w:cs="Times New Roman"/>
          <w:sz w:val="28"/>
          <w:szCs w:val="28"/>
        </w:rPr>
        <w:t>Вся промышленная деятельность в Городском округе соответствует трем видам деятельности: «Об</w:t>
      </w:r>
      <w:r w:rsidR="00405801">
        <w:rPr>
          <w:rFonts w:ascii="Times New Roman" w:hAnsi="Times New Roman" w:cs="Times New Roman"/>
          <w:sz w:val="28"/>
          <w:szCs w:val="28"/>
        </w:rPr>
        <w:t>рабатывающие производства» (</w:t>
      </w:r>
      <w:r w:rsidR="00921727">
        <w:rPr>
          <w:rFonts w:ascii="Times New Roman" w:hAnsi="Times New Roman" w:cs="Times New Roman"/>
          <w:sz w:val="28"/>
          <w:szCs w:val="28"/>
        </w:rPr>
        <w:t>96</w:t>
      </w:r>
      <w:r w:rsidR="00E53C02">
        <w:rPr>
          <w:rFonts w:ascii="Times New Roman" w:hAnsi="Times New Roman" w:cs="Times New Roman"/>
          <w:sz w:val="28"/>
          <w:szCs w:val="28"/>
        </w:rPr>
        <w:t>%</w:t>
      </w:r>
      <w:r w:rsidRPr="00794E22">
        <w:rPr>
          <w:rFonts w:ascii="Times New Roman" w:hAnsi="Times New Roman" w:cs="Times New Roman"/>
          <w:sz w:val="28"/>
          <w:szCs w:val="28"/>
        </w:rPr>
        <w:t>), «Обеспечение электрической энергией, газом и паром;</w:t>
      </w:r>
      <w:r w:rsidR="00405801">
        <w:rPr>
          <w:rFonts w:ascii="Times New Roman" w:hAnsi="Times New Roman" w:cs="Times New Roman"/>
          <w:sz w:val="28"/>
          <w:szCs w:val="28"/>
        </w:rPr>
        <w:t xml:space="preserve"> кондиционирование воздуха» (</w:t>
      </w:r>
      <w:r w:rsidR="00921727">
        <w:rPr>
          <w:rFonts w:ascii="Times New Roman" w:hAnsi="Times New Roman" w:cs="Times New Roman"/>
          <w:sz w:val="28"/>
          <w:szCs w:val="28"/>
        </w:rPr>
        <w:t>2,</w:t>
      </w:r>
      <w:r w:rsidR="001131FB">
        <w:rPr>
          <w:rFonts w:ascii="Times New Roman" w:hAnsi="Times New Roman" w:cs="Times New Roman"/>
          <w:sz w:val="28"/>
          <w:szCs w:val="28"/>
        </w:rPr>
        <w:t>8</w:t>
      </w:r>
      <w:r w:rsidR="00E53C02">
        <w:rPr>
          <w:rFonts w:ascii="Times New Roman" w:hAnsi="Times New Roman" w:cs="Times New Roman"/>
          <w:sz w:val="28"/>
          <w:szCs w:val="28"/>
        </w:rPr>
        <w:t>%</w:t>
      </w:r>
      <w:r w:rsidRPr="00794E22">
        <w:rPr>
          <w:rFonts w:ascii="Times New Roman" w:hAnsi="Times New Roman" w:cs="Times New Roman"/>
          <w:sz w:val="28"/>
          <w:szCs w:val="28"/>
        </w:rPr>
        <w:t xml:space="preserve">) </w:t>
      </w:r>
      <w:r w:rsidR="00E53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94E22">
        <w:rPr>
          <w:rFonts w:ascii="Times New Roman" w:hAnsi="Times New Roman" w:cs="Times New Roman"/>
          <w:sz w:val="28"/>
          <w:szCs w:val="28"/>
        </w:rPr>
        <w:t>и «Водоснабжение; во</w:t>
      </w:r>
      <w:r>
        <w:rPr>
          <w:rFonts w:ascii="Times New Roman" w:hAnsi="Times New Roman" w:cs="Times New Roman"/>
          <w:sz w:val="28"/>
          <w:szCs w:val="28"/>
        </w:rPr>
        <w:t xml:space="preserve">доотведение, организация сбора </w:t>
      </w:r>
      <w:r w:rsidRPr="00794E22">
        <w:rPr>
          <w:rFonts w:ascii="Times New Roman" w:hAnsi="Times New Roman" w:cs="Times New Roman"/>
          <w:sz w:val="28"/>
          <w:szCs w:val="28"/>
        </w:rPr>
        <w:t>и утилизации отходов, деятельно</w:t>
      </w:r>
      <w:r>
        <w:rPr>
          <w:rFonts w:ascii="Times New Roman" w:hAnsi="Times New Roman" w:cs="Times New Roman"/>
          <w:sz w:val="28"/>
          <w:szCs w:val="28"/>
        </w:rPr>
        <w:t xml:space="preserve">сть по ликвидации загрязнений» </w:t>
      </w:r>
      <w:r w:rsidR="00405801">
        <w:rPr>
          <w:rFonts w:ascii="Times New Roman" w:hAnsi="Times New Roman" w:cs="Times New Roman"/>
          <w:sz w:val="28"/>
          <w:szCs w:val="28"/>
        </w:rPr>
        <w:t>(1,</w:t>
      </w:r>
      <w:r w:rsidR="001131FB">
        <w:rPr>
          <w:rFonts w:ascii="Times New Roman" w:hAnsi="Times New Roman" w:cs="Times New Roman"/>
          <w:sz w:val="28"/>
          <w:szCs w:val="28"/>
        </w:rPr>
        <w:t>2</w:t>
      </w:r>
      <w:r w:rsidR="00E53C02">
        <w:rPr>
          <w:rFonts w:ascii="Times New Roman" w:hAnsi="Times New Roman" w:cs="Times New Roman"/>
          <w:sz w:val="28"/>
          <w:szCs w:val="28"/>
        </w:rPr>
        <w:t>%</w:t>
      </w:r>
      <w:r w:rsidRPr="00794E22">
        <w:rPr>
          <w:rFonts w:ascii="Times New Roman" w:hAnsi="Times New Roman" w:cs="Times New Roman"/>
          <w:sz w:val="28"/>
          <w:szCs w:val="28"/>
        </w:rPr>
        <w:t>).</w:t>
      </w:r>
    </w:p>
    <w:p w:rsidR="001131FB" w:rsidRPr="00D604D4" w:rsidRDefault="001131FB" w:rsidP="001131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4D4">
        <w:rPr>
          <w:rFonts w:ascii="Times New Roman" w:hAnsi="Times New Roman" w:cs="Times New Roman"/>
          <w:sz w:val="28"/>
          <w:szCs w:val="28"/>
        </w:rPr>
        <w:t>Несмотря на сдерживающие факторы развития промышленного производства, связанные с введением иностранными государствами санкционных ограничений, реализация инвестиционных проектов по модернизации и реконструкции действующих промышленных предприятий и производств позволяет сохранять положительную динамику развития промышленности.</w:t>
      </w:r>
    </w:p>
    <w:p w:rsidR="00794E22" w:rsidRPr="00794E22" w:rsidRDefault="00794E22" w:rsidP="001131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E22">
        <w:rPr>
          <w:rFonts w:ascii="Times New Roman" w:hAnsi="Times New Roman" w:cs="Times New Roman"/>
          <w:sz w:val="28"/>
          <w:szCs w:val="28"/>
        </w:rPr>
        <w:t>По оценке, в 202</w:t>
      </w:r>
      <w:r w:rsidR="00921727">
        <w:rPr>
          <w:rFonts w:ascii="Times New Roman" w:hAnsi="Times New Roman" w:cs="Times New Roman"/>
          <w:sz w:val="28"/>
          <w:szCs w:val="28"/>
        </w:rPr>
        <w:t>2</w:t>
      </w:r>
      <w:r w:rsidRPr="00794E22">
        <w:rPr>
          <w:rFonts w:ascii="Times New Roman" w:hAnsi="Times New Roman" w:cs="Times New Roman"/>
          <w:sz w:val="28"/>
          <w:szCs w:val="28"/>
        </w:rPr>
        <w:t xml:space="preserve"> году ожидается увеличение объема промышленного производства по «крупным</w:t>
      </w:r>
      <w:r w:rsidR="00E53C02">
        <w:rPr>
          <w:rFonts w:ascii="Times New Roman" w:hAnsi="Times New Roman" w:cs="Times New Roman"/>
          <w:sz w:val="28"/>
          <w:szCs w:val="28"/>
        </w:rPr>
        <w:t xml:space="preserve"> и средним» организациям на </w:t>
      </w:r>
      <w:r w:rsidR="00921727">
        <w:rPr>
          <w:rFonts w:ascii="Times New Roman" w:hAnsi="Times New Roman" w:cs="Times New Roman"/>
          <w:sz w:val="28"/>
          <w:szCs w:val="28"/>
        </w:rPr>
        <w:t>10</w:t>
      </w:r>
      <w:r w:rsidR="00E53C02">
        <w:rPr>
          <w:rFonts w:ascii="Times New Roman" w:hAnsi="Times New Roman" w:cs="Times New Roman"/>
          <w:sz w:val="28"/>
          <w:szCs w:val="28"/>
        </w:rPr>
        <w:t xml:space="preserve">% </w:t>
      </w:r>
      <w:r w:rsidRPr="00794E22">
        <w:rPr>
          <w:rFonts w:ascii="Times New Roman" w:hAnsi="Times New Roman" w:cs="Times New Roman"/>
          <w:sz w:val="28"/>
          <w:szCs w:val="28"/>
        </w:rPr>
        <w:t xml:space="preserve">по сравнению </w:t>
      </w:r>
      <w:r w:rsidR="00E53C0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94E22">
        <w:rPr>
          <w:rFonts w:ascii="Times New Roman" w:hAnsi="Times New Roman" w:cs="Times New Roman"/>
          <w:sz w:val="28"/>
          <w:szCs w:val="28"/>
        </w:rPr>
        <w:t>с уровнем 202</w:t>
      </w:r>
      <w:r w:rsidR="00921727">
        <w:rPr>
          <w:rFonts w:ascii="Times New Roman" w:hAnsi="Times New Roman" w:cs="Times New Roman"/>
          <w:sz w:val="28"/>
          <w:szCs w:val="28"/>
        </w:rPr>
        <w:t>1</w:t>
      </w:r>
      <w:r w:rsidRPr="00794E22">
        <w:rPr>
          <w:rFonts w:ascii="Times New Roman" w:hAnsi="Times New Roman" w:cs="Times New Roman"/>
          <w:sz w:val="28"/>
          <w:szCs w:val="28"/>
        </w:rPr>
        <w:t xml:space="preserve"> года, объем в абсолютном выражении составит </w:t>
      </w:r>
      <w:r w:rsidR="007002B1">
        <w:rPr>
          <w:rFonts w:ascii="Times New Roman" w:hAnsi="Times New Roman" w:cs="Times New Roman"/>
          <w:sz w:val="28"/>
          <w:szCs w:val="28"/>
        </w:rPr>
        <w:t>90699,8</w:t>
      </w:r>
      <w:r w:rsidR="00921727">
        <w:rPr>
          <w:rFonts w:ascii="Times New Roman" w:hAnsi="Times New Roman" w:cs="Times New Roman"/>
          <w:sz w:val="28"/>
          <w:szCs w:val="28"/>
        </w:rPr>
        <w:t xml:space="preserve"> </w:t>
      </w:r>
      <w:r w:rsidRPr="00794E22">
        <w:rPr>
          <w:rFonts w:ascii="Times New Roman" w:hAnsi="Times New Roman" w:cs="Times New Roman"/>
          <w:sz w:val="28"/>
          <w:szCs w:val="28"/>
        </w:rPr>
        <w:t>млн рублей.</w:t>
      </w:r>
    </w:p>
    <w:p w:rsidR="00794E22" w:rsidRPr="00794E22" w:rsidRDefault="00794E22" w:rsidP="00794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22">
        <w:rPr>
          <w:rFonts w:ascii="Times New Roman" w:hAnsi="Times New Roman" w:cs="Times New Roman"/>
          <w:sz w:val="28"/>
          <w:szCs w:val="28"/>
        </w:rPr>
        <w:t>Прогноз до 2030 года сформирован с учетом индексов-дефляторов, долгосрочных перспектив развития пром</w:t>
      </w:r>
      <w:r>
        <w:rPr>
          <w:rFonts w:ascii="Times New Roman" w:hAnsi="Times New Roman" w:cs="Times New Roman"/>
          <w:sz w:val="28"/>
          <w:szCs w:val="28"/>
        </w:rPr>
        <w:t xml:space="preserve">ышленности </w:t>
      </w:r>
      <w:r w:rsidR="00405801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F0F16">
        <w:rPr>
          <w:rFonts w:ascii="Times New Roman" w:hAnsi="Times New Roman" w:cs="Times New Roman"/>
          <w:sz w:val="28"/>
          <w:szCs w:val="28"/>
        </w:rPr>
        <w:br/>
      </w:r>
      <w:r w:rsidRPr="00794E22">
        <w:rPr>
          <w:rFonts w:ascii="Times New Roman" w:hAnsi="Times New Roman" w:cs="Times New Roman"/>
          <w:sz w:val="28"/>
          <w:szCs w:val="28"/>
        </w:rPr>
        <w:t xml:space="preserve">а также перспектив развития отдельных предприятий. При </w:t>
      </w:r>
      <w:r w:rsidR="00405801">
        <w:rPr>
          <w:rFonts w:ascii="Times New Roman" w:hAnsi="Times New Roman" w:cs="Times New Roman"/>
          <w:sz w:val="28"/>
          <w:szCs w:val="28"/>
        </w:rPr>
        <w:t>стабилизации</w:t>
      </w:r>
      <w:r w:rsidRPr="00794E22">
        <w:rPr>
          <w:rFonts w:ascii="Times New Roman" w:hAnsi="Times New Roman" w:cs="Times New Roman"/>
          <w:sz w:val="28"/>
          <w:szCs w:val="28"/>
        </w:rPr>
        <w:t xml:space="preserve"> внешних </w:t>
      </w:r>
      <w:r w:rsidR="00405801">
        <w:rPr>
          <w:rFonts w:ascii="Times New Roman" w:hAnsi="Times New Roman" w:cs="Times New Roman"/>
          <w:sz w:val="28"/>
          <w:szCs w:val="28"/>
        </w:rPr>
        <w:t>условий</w:t>
      </w:r>
      <w:r w:rsidRPr="00794E22">
        <w:rPr>
          <w:rFonts w:ascii="Times New Roman" w:hAnsi="Times New Roman" w:cs="Times New Roman"/>
          <w:sz w:val="28"/>
          <w:szCs w:val="28"/>
        </w:rPr>
        <w:t xml:space="preserve"> ожидается положительная динамика роста объемов производства, к 2030 году объем производства увеличитс</w:t>
      </w:r>
      <w:r>
        <w:rPr>
          <w:rFonts w:ascii="Times New Roman" w:hAnsi="Times New Roman" w:cs="Times New Roman"/>
          <w:sz w:val="28"/>
          <w:szCs w:val="28"/>
        </w:rPr>
        <w:t xml:space="preserve">я до уровня </w:t>
      </w:r>
      <w:r w:rsidR="007002B1">
        <w:rPr>
          <w:rFonts w:ascii="Times New Roman" w:hAnsi="Times New Roman" w:cs="Times New Roman"/>
          <w:sz w:val="28"/>
          <w:szCs w:val="28"/>
        </w:rPr>
        <w:t>13</w:t>
      </w:r>
      <w:r w:rsidR="0073131C">
        <w:rPr>
          <w:rFonts w:ascii="Times New Roman" w:hAnsi="Times New Roman" w:cs="Times New Roman"/>
          <w:sz w:val="28"/>
          <w:szCs w:val="28"/>
        </w:rPr>
        <w:t xml:space="preserve">5359,9 </w:t>
      </w:r>
      <w:r>
        <w:rPr>
          <w:rFonts w:ascii="Times New Roman" w:hAnsi="Times New Roman" w:cs="Times New Roman"/>
          <w:sz w:val="28"/>
          <w:szCs w:val="28"/>
        </w:rPr>
        <w:t xml:space="preserve">млн рублей </w:t>
      </w:r>
      <w:r w:rsidRPr="00794E22">
        <w:rPr>
          <w:rFonts w:ascii="Times New Roman" w:hAnsi="Times New Roman" w:cs="Times New Roman"/>
          <w:sz w:val="28"/>
          <w:szCs w:val="28"/>
        </w:rPr>
        <w:t>темп</w:t>
      </w:r>
      <w:r w:rsidR="0073131C">
        <w:rPr>
          <w:rFonts w:ascii="Times New Roman" w:hAnsi="Times New Roman" w:cs="Times New Roman"/>
          <w:sz w:val="28"/>
          <w:szCs w:val="28"/>
        </w:rPr>
        <w:t>ом</w:t>
      </w:r>
      <w:r w:rsidRPr="00794E22">
        <w:rPr>
          <w:rFonts w:ascii="Times New Roman" w:hAnsi="Times New Roman" w:cs="Times New Roman"/>
          <w:sz w:val="28"/>
          <w:szCs w:val="28"/>
        </w:rPr>
        <w:t xml:space="preserve"> роста </w:t>
      </w:r>
      <w:r w:rsidR="0073131C">
        <w:rPr>
          <w:rFonts w:ascii="Times New Roman" w:hAnsi="Times New Roman" w:cs="Times New Roman"/>
          <w:sz w:val="28"/>
          <w:szCs w:val="28"/>
        </w:rPr>
        <w:t xml:space="preserve">до </w:t>
      </w:r>
      <w:r w:rsidR="00F96106">
        <w:rPr>
          <w:rFonts w:ascii="Times New Roman" w:hAnsi="Times New Roman" w:cs="Times New Roman"/>
          <w:sz w:val="28"/>
          <w:szCs w:val="28"/>
        </w:rPr>
        <w:t>10</w:t>
      </w:r>
      <w:r w:rsidR="0073131C">
        <w:rPr>
          <w:rFonts w:ascii="Times New Roman" w:hAnsi="Times New Roman" w:cs="Times New Roman"/>
          <w:sz w:val="28"/>
          <w:szCs w:val="28"/>
        </w:rPr>
        <w:t>5,8</w:t>
      </w:r>
      <w:r w:rsidR="00E53C02">
        <w:rPr>
          <w:rFonts w:ascii="Times New Roman" w:hAnsi="Times New Roman" w:cs="Times New Roman"/>
          <w:sz w:val="28"/>
          <w:szCs w:val="28"/>
        </w:rPr>
        <w:t xml:space="preserve">% </w:t>
      </w:r>
      <w:r w:rsidRPr="00794E22">
        <w:rPr>
          <w:rFonts w:ascii="Times New Roman" w:hAnsi="Times New Roman" w:cs="Times New Roman"/>
          <w:sz w:val="28"/>
          <w:szCs w:val="28"/>
        </w:rPr>
        <w:t>по второму варианту расчетов.</w:t>
      </w:r>
    </w:p>
    <w:p w:rsidR="007002B1" w:rsidRDefault="007002B1" w:rsidP="007002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4D4">
        <w:rPr>
          <w:rFonts w:ascii="Times New Roman" w:hAnsi="Times New Roman" w:cs="Times New Roman"/>
          <w:sz w:val="28"/>
          <w:szCs w:val="28"/>
        </w:rPr>
        <w:t xml:space="preserve">Основу </w:t>
      </w:r>
      <w:r>
        <w:rPr>
          <w:rFonts w:ascii="Times New Roman" w:hAnsi="Times New Roman" w:cs="Times New Roman"/>
          <w:sz w:val="28"/>
          <w:szCs w:val="28"/>
        </w:rPr>
        <w:t xml:space="preserve">(или 94,9%) </w:t>
      </w:r>
      <w:r w:rsidRPr="00D604D4">
        <w:rPr>
          <w:rFonts w:ascii="Times New Roman" w:hAnsi="Times New Roman" w:cs="Times New Roman"/>
          <w:sz w:val="28"/>
          <w:szCs w:val="28"/>
        </w:rPr>
        <w:t>промышленного комплекса Городского округа составляют предприятия сферы обрабатывающих производств. В 2022 году в структуре обрабатывающих производств значительная доля приходится на производство пищевых продуктов – 27%, резиновых и пластмассовых изделий – 20,5%, электрооборудования, электронного и оптического оборудования – 17,8%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604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Коме того: обрабатывающими промышленными предприятиями производится </w:t>
      </w:r>
      <w:r w:rsidRPr="00D604D4">
        <w:rPr>
          <w:rFonts w:ascii="Times New Roman" w:hAnsi="Times New Roman" w:cs="Times New Roman"/>
          <w:sz w:val="28"/>
          <w:szCs w:val="28"/>
        </w:rPr>
        <w:t>бумаг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604D4">
        <w:rPr>
          <w:rFonts w:ascii="Times New Roman" w:hAnsi="Times New Roman" w:cs="Times New Roman"/>
          <w:sz w:val="28"/>
          <w:szCs w:val="28"/>
        </w:rPr>
        <w:t xml:space="preserve"> и бумажн</w:t>
      </w:r>
      <w:r>
        <w:rPr>
          <w:rFonts w:ascii="Times New Roman" w:hAnsi="Times New Roman" w:cs="Times New Roman"/>
          <w:sz w:val="28"/>
          <w:szCs w:val="28"/>
        </w:rPr>
        <w:t>ая продукция</w:t>
      </w:r>
      <w:r w:rsidRPr="00D604D4">
        <w:rPr>
          <w:rFonts w:ascii="Times New Roman" w:hAnsi="Times New Roman" w:cs="Times New Roman"/>
          <w:sz w:val="28"/>
          <w:szCs w:val="28"/>
        </w:rPr>
        <w:t xml:space="preserve"> – 4,8%; химическ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604D4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</w:rPr>
        <w:t>дукция</w:t>
      </w:r>
      <w:r w:rsidRPr="00D604D4">
        <w:rPr>
          <w:rFonts w:ascii="Times New Roman" w:hAnsi="Times New Roman" w:cs="Times New Roman"/>
          <w:sz w:val="28"/>
          <w:szCs w:val="28"/>
        </w:rPr>
        <w:t xml:space="preserve"> – 4,5% и др</w:t>
      </w:r>
      <w:r>
        <w:rPr>
          <w:rFonts w:ascii="Times New Roman" w:hAnsi="Times New Roman" w:cs="Times New Roman"/>
          <w:sz w:val="28"/>
          <w:szCs w:val="28"/>
        </w:rPr>
        <w:t>угие.</w:t>
      </w:r>
    </w:p>
    <w:p w:rsidR="007E6623" w:rsidRDefault="007E6623" w:rsidP="007002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4D4">
        <w:rPr>
          <w:rFonts w:ascii="Times New Roman" w:hAnsi="Times New Roman" w:cs="Times New Roman"/>
          <w:sz w:val="28"/>
          <w:szCs w:val="28"/>
        </w:rPr>
        <w:t>Положительную динамику в обрабатывающих производствах обеспечивает развитие предприятий пищевой промышленности (темп роста – 125%), предприятий по производству резиновых и пластмассовых изделий (темп роста – 120%), а также деятельность предприятий химического производства (темп роста – 200%)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AD8" w:rsidRPr="00B16AD8" w:rsidRDefault="00B16AD8" w:rsidP="007002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6AD8">
        <w:rPr>
          <w:rFonts w:ascii="Times New Roman" w:hAnsi="Times New Roman" w:cs="Times New Roman"/>
          <w:sz w:val="28"/>
          <w:szCs w:val="28"/>
        </w:rPr>
        <w:t xml:space="preserve">Снижение динамики в обрабатывающих производствах наблюдается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B16AD8">
        <w:rPr>
          <w:rFonts w:ascii="Times New Roman" w:hAnsi="Times New Roman" w:cs="Times New Roman"/>
          <w:sz w:val="28"/>
          <w:szCs w:val="28"/>
        </w:rPr>
        <w:t>на предприятиях по производству напитков; бумаги и бумажных изделий; машин и оборудования и др. продукции.</w:t>
      </w:r>
    </w:p>
    <w:p w:rsidR="00B16AD8" w:rsidRDefault="00B16AD8" w:rsidP="00794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AD8">
        <w:rPr>
          <w:rFonts w:ascii="Times New Roman" w:hAnsi="Times New Roman" w:cs="Times New Roman"/>
          <w:sz w:val="28"/>
          <w:szCs w:val="28"/>
        </w:rPr>
        <w:t xml:space="preserve">Сдерживающими факторами, влияющими на развитие промышленного производства, являются введенные иностранными государствами санкционные </w:t>
      </w:r>
      <w:r w:rsidRPr="00B16AD8">
        <w:rPr>
          <w:rFonts w:ascii="Times New Roman" w:hAnsi="Times New Roman" w:cs="Times New Roman"/>
          <w:sz w:val="28"/>
          <w:szCs w:val="28"/>
        </w:rPr>
        <w:lastRenderedPageBreak/>
        <w:t>ограничения: остановка экспортных отгрузок в ряд стран (Англия, Германия, Польша и др.), невозможность поставки ряда мате</w:t>
      </w:r>
      <w:r>
        <w:rPr>
          <w:rFonts w:ascii="Times New Roman" w:hAnsi="Times New Roman" w:cs="Times New Roman"/>
          <w:sz w:val="28"/>
          <w:szCs w:val="28"/>
        </w:rPr>
        <w:t xml:space="preserve">риалов, запчастей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B16AD8">
        <w:rPr>
          <w:rFonts w:ascii="Times New Roman" w:hAnsi="Times New Roman" w:cs="Times New Roman"/>
          <w:sz w:val="28"/>
          <w:szCs w:val="28"/>
        </w:rPr>
        <w:t xml:space="preserve">и оборудования, сбой логистических цепочек, сужение рынков сбыта и др.  </w:t>
      </w:r>
      <w:r>
        <w:rPr>
          <w:rFonts w:ascii="Times New Roman" w:hAnsi="Times New Roman" w:cs="Times New Roman"/>
          <w:sz w:val="28"/>
          <w:szCs w:val="28"/>
        </w:rPr>
        <w:tab/>
      </w:r>
      <w:r w:rsidRPr="00B16AD8">
        <w:rPr>
          <w:rFonts w:ascii="Times New Roman" w:hAnsi="Times New Roman" w:cs="Times New Roman"/>
          <w:sz w:val="28"/>
          <w:szCs w:val="28"/>
        </w:rPr>
        <w:t xml:space="preserve">Наращивание объемов производств действующих предприятий за счет ухода части предприятий из-за санкционного давления, а также переориентация </w:t>
      </w:r>
      <w:r w:rsidRPr="00B16AD8">
        <w:rPr>
          <w:rFonts w:ascii="Times New Roman" w:hAnsi="Times New Roman" w:cs="Times New Roman"/>
          <w:sz w:val="28"/>
          <w:szCs w:val="28"/>
        </w:rPr>
        <w:br/>
        <w:t xml:space="preserve">на продукцию российских производителей, повышение объема заказов, за счет расширения ассортимента выпускаемой предприятиями продукции </w:t>
      </w:r>
      <w:r w:rsidRPr="00B16AD8">
        <w:rPr>
          <w:rFonts w:ascii="Times New Roman" w:hAnsi="Times New Roman" w:cs="Times New Roman"/>
          <w:sz w:val="28"/>
          <w:szCs w:val="28"/>
        </w:rPr>
        <w:br/>
        <w:t>и повышения спроса на различные категории продукции окажут существенное влияние на рост показателя объемов отгруженной продукции. Планируется, что потенциал промышленного роста будет обеспечен за счет модернизации и расширения следующих производств: ООО «РостАгрокомплекс» (производство молочных продуктов), АО «ЛВЗ Топаз» (производство алкогольной продукции), ООО «Хухтамаки С.Н.Г.» (производство пластмассовых изделий), ООО «Октион» (производство хлеба и мучных кондитерских изделий), ООО «Трубный завод» (производство стальных труб, полых профилей и фитингов), ООО «Нова Ролл-Стрейч» (производство полимерной упаковки), ООО «Импресс Арт» (производство упаковки), а также благодаря переориентации на продукцию российских производителей ООО «Предприятие «ВГТ» (производство красок, лаков и аналогичных материалов) и заключению крупных контрактов ОАО «Пушкинский текстиль» (производство тканей).</w:t>
      </w:r>
    </w:p>
    <w:p w:rsidR="00AD7991" w:rsidRDefault="00794E22" w:rsidP="00794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22">
        <w:rPr>
          <w:rFonts w:ascii="Times New Roman" w:hAnsi="Times New Roman" w:cs="Times New Roman"/>
          <w:sz w:val="28"/>
          <w:szCs w:val="28"/>
        </w:rPr>
        <w:t>Дальнейшему росту промышленного производства будут способствовать деятельность действующих предприятий Городского округа, реализация инвестиционных проектов по их модернизации и реконструкции, внедрение конкурентоспособных инновационных технологий, установка новых технологических линий.</w:t>
      </w:r>
    </w:p>
    <w:p w:rsidR="002F34BB" w:rsidRDefault="002F34BB" w:rsidP="00794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991" w:rsidRPr="007002B1" w:rsidRDefault="00AD7991" w:rsidP="00AD799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B1">
        <w:rPr>
          <w:rFonts w:ascii="Times New Roman" w:hAnsi="Times New Roman" w:cs="Times New Roman"/>
          <w:b/>
          <w:color w:val="000000"/>
          <w:sz w:val="28"/>
          <w:szCs w:val="28"/>
        </w:rPr>
        <w:t>Транспорт</w:t>
      </w:r>
    </w:p>
    <w:p w:rsidR="004A6E0D" w:rsidRDefault="00557182" w:rsidP="004A6E0D">
      <w:pPr>
        <w:shd w:val="clear" w:color="auto" w:fill="FFFFFF"/>
        <w:tabs>
          <w:tab w:val="left" w:pos="82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A6E0D" w:rsidRPr="00AF02D0">
        <w:rPr>
          <w:rFonts w:ascii="Times New Roman" w:hAnsi="Times New Roman" w:cs="Times New Roman"/>
          <w:sz w:val="28"/>
          <w:szCs w:val="28"/>
        </w:rPr>
        <w:t>стойчиво</w:t>
      </w:r>
      <w:r>
        <w:rPr>
          <w:rFonts w:ascii="Times New Roman" w:hAnsi="Times New Roman" w:cs="Times New Roman"/>
          <w:sz w:val="28"/>
          <w:szCs w:val="28"/>
        </w:rPr>
        <w:t>сть состояния</w:t>
      </w:r>
      <w:r w:rsidR="004A6E0D" w:rsidRPr="00AF02D0">
        <w:rPr>
          <w:rFonts w:ascii="Times New Roman" w:hAnsi="Times New Roman" w:cs="Times New Roman"/>
          <w:sz w:val="28"/>
          <w:szCs w:val="28"/>
        </w:rPr>
        <w:t xml:space="preserve"> дорожно</w:t>
      </w:r>
      <w:r>
        <w:rPr>
          <w:rFonts w:ascii="Times New Roman" w:hAnsi="Times New Roman" w:cs="Times New Roman"/>
          <w:sz w:val="28"/>
          <w:szCs w:val="28"/>
        </w:rPr>
        <w:t>-транспортной инфраструктуры</w:t>
      </w:r>
      <w:r w:rsidR="004A6E0D" w:rsidRPr="00AF02D0">
        <w:rPr>
          <w:rFonts w:ascii="Times New Roman" w:hAnsi="Times New Roman" w:cs="Times New Roman"/>
          <w:sz w:val="28"/>
          <w:szCs w:val="28"/>
        </w:rPr>
        <w:t xml:space="preserve"> </w:t>
      </w:r>
      <w:r w:rsidR="004A6E0D" w:rsidRPr="00AF02D0">
        <w:rPr>
          <w:rFonts w:ascii="Times New Roman" w:hAnsi="Times New Roman" w:cs="Times New Roman"/>
          <w:sz w:val="28"/>
          <w:szCs w:val="28"/>
        </w:rPr>
        <w:br/>
        <w:t xml:space="preserve">в значительной степени </w:t>
      </w:r>
      <w:r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4A6E0D" w:rsidRPr="00AF02D0">
        <w:rPr>
          <w:rFonts w:ascii="Times New Roman" w:hAnsi="Times New Roman" w:cs="Times New Roman"/>
          <w:sz w:val="28"/>
          <w:szCs w:val="28"/>
        </w:rPr>
        <w:t xml:space="preserve">экономическое развитие территории </w:t>
      </w:r>
      <w:r w:rsidR="00C91347">
        <w:rPr>
          <w:rFonts w:ascii="Times New Roman" w:hAnsi="Times New Roman" w:cs="Times New Roman"/>
          <w:sz w:val="28"/>
          <w:szCs w:val="28"/>
        </w:rPr>
        <w:br/>
      </w:r>
      <w:r w:rsidR="00D92ED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A6E0D" w:rsidRPr="00AF02D0">
        <w:rPr>
          <w:rFonts w:ascii="Times New Roman" w:hAnsi="Times New Roman" w:cs="Times New Roman"/>
          <w:sz w:val="28"/>
          <w:szCs w:val="28"/>
        </w:rPr>
        <w:t>и условия жизни населения.</w:t>
      </w:r>
    </w:p>
    <w:p w:rsidR="004A6E0D" w:rsidRDefault="004A6E0D" w:rsidP="004A6E0D">
      <w:pPr>
        <w:shd w:val="clear" w:color="auto" w:fill="FFFFFF"/>
        <w:tabs>
          <w:tab w:val="left" w:pos="82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Транспортная инфраструктура Городского округа объединяет все входящие в него населенные пункты, что является необходимым условием единства экономического пространства.</w:t>
      </w:r>
    </w:p>
    <w:p w:rsidR="004A6E0D" w:rsidRDefault="004507F3" w:rsidP="004A6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Ожидается, что в 2022</w:t>
      </w:r>
      <w:r w:rsidR="004A6E0D">
        <w:rPr>
          <w:rFonts w:ascii="Times New Roman" w:hAnsi="Times New Roman" w:cs="Times New Roman"/>
          <w:sz w:val="28"/>
          <w:szCs w:val="28"/>
        </w:rPr>
        <w:t xml:space="preserve"> году общая протяженность автомобильных дорог общего пользования с твердым типом покрытия местного значения сост</w:t>
      </w:r>
      <w:r>
        <w:rPr>
          <w:rFonts w:ascii="Times New Roman" w:hAnsi="Times New Roman" w:cs="Times New Roman"/>
          <w:sz w:val="28"/>
          <w:szCs w:val="28"/>
        </w:rPr>
        <w:t>авит 730,</w:t>
      </w:r>
      <w:r w:rsidR="004A6E0D">
        <w:rPr>
          <w:rFonts w:ascii="Times New Roman" w:hAnsi="Times New Roman" w:cs="Times New Roman"/>
          <w:sz w:val="28"/>
          <w:szCs w:val="28"/>
        </w:rPr>
        <w:t>5 км</w:t>
      </w:r>
      <w:r w:rsidR="004A6E0D" w:rsidRPr="00D067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6E0D" w:rsidRDefault="00557182" w:rsidP="004A6E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долгосрочном периоде</w:t>
      </w:r>
      <w:r w:rsidR="004A6E0D" w:rsidRPr="00AF02D0">
        <w:rPr>
          <w:rFonts w:ascii="Times New Roman" w:hAnsi="Times New Roman" w:cs="Times New Roman"/>
          <w:sz w:val="28"/>
          <w:szCs w:val="28"/>
        </w:rPr>
        <w:t xml:space="preserve"> прогнозир</w:t>
      </w:r>
      <w:r w:rsidR="00CC07CB">
        <w:rPr>
          <w:rFonts w:ascii="Times New Roman" w:hAnsi="Times New Roman" w:cs="Times New Roman"/>
          <w:sz w:val="28"/>
          <w:szCs w:val="28"/>
        </w:rPr>
        <w:t>уе</w:t>
      </w:r>
      <w:r w:rsidR="00F6412F">
        <w:rPr>
          <w:rFonts w:ascii="Times New Roman" w:hAnsi="Times New Roman" w:cs="Times New Roman"/>
          <w:sz w:val="28"/>
          <w:szCs w:val="28"/>
        </w:rPr>
        <w:t>тся проведение реконструкции 8,3</w:t>
      </w:r>
      <w:r w:rsidR="004A6E0D" w:rsidRPr="00AF02D0">
        <w:rPr>
          <w:rFonts w:ascii="Times New Roman" w:hAnsi="Times New Roman" w:cs="Times New Roman"/>
          <w:sz w:val="28"/>
          <w:szCs w:val="28"/>
        </w:rPr>
        <w:t xml:space="preserve"> км автомобильных дорог общего пользования с твердым типом покрытия местного значения </w:t>
      </w:r>
      <w:r w:rsidR="004A6E0D">
        <w:rPr>
          <w:rFonts w:ascii="Times New Roman" w:hAnsi="Times New Roman" w:cs="Times New Roman"/>
          <w:sz w:val="28"/>
          <w:szCs w:val="28"/>
        </w:rPr>
        <w:t xml:space="preserve">и к 2030 году протяженность дорог </w:t>
      </w:r>
      <w:r>
        <w:rPr>
          <w:rFonts w:ascii="Times New Roman" w:hAnsi="Times New Roman" w:cs="Times New Roman"/>
          <w:sz w:val="28"/>
          <w:szCs w:val="28"/>
        </w:rPr>
        <w:t>увеличится</w:t>
      </w:r>
      <w:r w:rsidR="0073131C">
        <w:rPr>
          <w:rFonts w:ascii="Times New Roman" w:hAnsi="Times New Roman" w:cs="Times New Roman"/>
          <w:sz w:val="28"/>
          <w:szCs w:val="28"/>
        </w:rPr>
        <w:t xml:space="preserve"> до 737</w:t>
      </w:r>
      <w:r w:rsidR="004A6E0D" w:rsidRPr="00AF02D0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4A6E0D" w:rsidRPr="003B5820" w:rsidRDefault="00C91347" w:rsidP="004A6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347">
        <w:rPr>
          <w:rFonts w:ascii="Times New Roman" w:hAnsi="Times New Roman" w:cs="Times New Roman"/>
          <w:sz w:val="28"/>
          <w:szCs w:val="28"/>
        </w:rPr>
        <w:t>Развитие дорожно-транспортной инфраструктуры во многом определяется направлениями Указа Президента Российско</w:t>
      </w:r>
      <w:r w:rsidR="00D92ED4">
        <w:rPr>
          <w:rFonts w:ascii="Times New Roman" w:hAnsi="Times New Roman" w:cs="Times New Roman"/>
          <w:sz w:val="28"/>
          <w:szCs w:val="28"/>
        </w:rPr>
        <w:t>й Федерации от 7.05.2018</w:t>
      </w:r>
      <w:r w:rsidR="001F58D5">
        <w:rPr>
          <w:rFonts w:ascii="Times New Roman" w:hAnsi="Times New Roman" w:cs="Times New Roman"/>
          <w:sz w:val="28"/>
          <w:szCs w:val="28"/>
        </w:rPr>
        <w:t xml:space="preserve"> </w:t>
      </w:r>
      <w:r w:rsidRPr="00C91347">
        <w:rPr>
          <w:rFonts w:ascii="Times New Roman" w:hAnsi="Times New Roman" w:cs="Times New Roman"/>
          <w:sz w:val="28"/>
          <w:szCs w:val="28"/>
        </w:rPr>
        <w:t>№ 204 «О национальных целях и стратегических задачах развития Российской Федерации на период до 2024 года», нац</w:t>
      </w:r>
      <w:r>
        <w:rPr>
          <w:rFonts w:ascii="Times New Roman" w:hAnsi="Times New Roman" w:cs="Times New Roman"/>
          <w:sz w:val="28"/>
          <w:szCs w:val="28"/>
        </w:rPr>
        <w:t xml:space="preserve">ионального проекта «Безопасные </w:t>
      </w:r>
      <w:r w:rsidRPr="00C91347">
        <w:rPr>
          <w:rFonts w:ascii="Times New Roman" w:hAnsi="Times New Roman" w:cs="Times New Roman"/>
          <w:sz w:val="28"/>
          <w:szCs w:val="28"/>
        </w:rPr>
        <w:t>и качественные автомобильные дороги».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E0D">
        <w:rPr>
          <w:rFonts w:ascii="Times New Roman" w:hAnsi="Times New Roman" w:cs="Times New Roman"/>
          <w:sz w:val="28"/>
          <w:szCs w:val="28"/>
        </w:rPr>
        <w:t xml:space="preserve">В </w:t>
      </w:r>
      <w:r w:rsidR="004A6E0D" w:rsidRPr="00AF02D0">
        <w:rPr>
          <w:rFonts w:ascii="Times New Roman" w:hAnsi="Times New Roman" w:cs="Times New Roman"/>
          <w:sz w:val="28"/>
          <w:szCs w:val="28"/>
        </w:rPr>
        <w:t xml:space="preserve">рамках реализации </w:t>
      </w:r>
      <w:r w:rsidR="004A6E0D" w:rsidRPr="00AF02D0">
        <w:rPr>
          <w:rFonts w:ascii="Times New Roman" w:hAnsi="Times New Roman" w:cs="Times New Roman"/>
          <w:sz w:val="28"/>
          <w:szCs w:val="28"/>
        </w:rPr>
        <w:lastRenderedPageBreak/>
        <w:t>мероприятий муниципальной программы «Развитие и функционирование дорожно-транспортног</w:t>
      </w:r>
      <w:r w:rsidR="004A6E0D">
        <w:rPr>
          <w:rFonts w:ascii="Times New Roman" w:hAnsi="Times New Roman" w:cs="Times New Roman"/>
          <w:sz w:val="28"/>
          <w:szCs w:val="28"/>
        </w:rPr>
        <w:t xml:space="preserve">о комплекса» проводятся работы </w:t>
      </w:r>
      <w:r w:rsidR="004A6E0D" w:rsidRPr="00AF02D0">
        <w:rPr>
          <w:rFonts w:ascii="Times New Roman" w:hAnsi="Times New Roman" w:cs="Times New Roman"/>
          <w:sz w:val="28"/>
          <w:szCs w:val="28"/>
        </w:rPr>
        <w:t>по приведению автомобильных дорог в нормативное состоян</w:t>
      </w:r>
      <w:r w:rsidR="004F2682">
        <w:rPr>
          <w:rFonts w:ascii="Times New Roman" w:hAnsi="Times New Roman" w:cs="Times New Roman"/>
          <w:sz w:val="28"/>
          <w:szCs w:val="28"/>
        </w:rPr>
        <w:t>ие. Ожидается, что в 2022</w:t>
      </w:r>
      <w:r w:rsidR="004A6E0D">
        <w:rPr>
          <w:rFonts w:ascii="Times New Roman" w:hAnsi="Times New Roman" w:cs="Times New Roman"/>
          <w:sz w:val="28"/>
          <w:szCs w:val="28"/>
        </w:rPr>
        <w:t xml:space="preserve"> году будет </w:t>
      </w:r>
      <w:r w:rsidR="004F2682">
        <w:rPr>
          <w:rFonts w:ascii="Times New Roman" w:hAnsi="Times New Roman" w:cs="Times New Roman"/>
          <w:sz w:val="28"/>
          <w:szCs w:val="28"/>
        </w:rPr>
        <w:t>отремонтировано 32 муниципальны</w:t>
      </w:r>
      <w:r w:rsidR="00C65C4F">
        <w:rPr>
          <w:rFonts w:ascii="Times New Roman" w:hAnsi="Times New Roman" w:cs="Times New Roman"/>
          <w:sz w:val="28"/>
          <w:szCs w:val="28"/>
        </w:rPr>
        <w:t>е</w:t>
      </w:r>
      <w:r w:rsidR="004F2682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F6412F">
        <w:rPr>
          <w:rFonts w:ascii="Times New Roman" w:hAnsi="Times New Roman" w:cs="Times New Roman"/>
          <w:sz w:val="28"/>
          <w:szCs w:val="28"/>
        </w:rPr>
        <w:t>и</w:t>
      </w:r>
      <w:r w:rsidR="007678CD">
        <w:rPr>
          <w:rFonts w:ascii="Times New Roman" w:hAnsi="Times New Roman" w:cs="Times New Roman"/>
          <w:sz w:val="28"/>
          <w:szCs w:val="28"/>
        </w:rPr>
        <w:t xml:space="preserve"> или </w:t>
      </w:r>
      <w:r w:rsidR="00CE72C3">
        <w:rPr>
          <w:rFonts w:ascii="Times New Roman" w:hAnsi="Times New Roman" w:cs="Times New Roman"/>
          <w:sz w:val="28"/>
          <w:szCs w:val="28"/>
        </w:rPr>
        <w:t>27</w:t>
      </w:r>
      <w:r w:rsidR="004A6E0D">
        <w:rPr>
          <w:rFonts w:ascii="Times New Roman" w:hAnsi="Times New Roman" w:cs="Times New Roman"/>
          <w:sz w:val="28"/>
          <w:szCs w:val="28"/>
        </w:rPr>
        <w:t xml:space="preserve"> км.</w:t>
      </w:r>
      <w:r w:rsidR="004A6E0D" w:rsidRPr="00B138DB">
        <w:rPr>
          <w:rFonts w:ascii="Times New Roman" w:hAnsi="Times New Roman" w:cs="Times New Roman"/>
          <w:sz w:val="28"/>
          <w:szCs w:val="28"/>
        </w:rPr>
        <w:t xml:space="preserve"> </w:t>
      </w:r>
      <w:r w:rsidR="004A6E0D" w:rsidRPr="00E16C49">
        <w:rPr>
          <w:rFonts w:ascii="Times New Roman" w:hAnsi="Times New Roman" w:cs="Times New Roman"/>
          <w:sz w:val="28"/>
          <w:szCs w:val="28"/>
        </w:rPr>
        <w:t>Выполнен капиталь</w:t>
      </w:r>
      <w:r w:rsidR="004A6E0D">
        <w:rPr>
          <w:rFonts w:ascii="Times New Roman" w:hAnsi="Times New Roman" w:cs="Times New Roman"/>
          <w:sz w:val="28"/>
          <w:szCs w:val="28"/>
        </w:rPr>
        <w:t xml:space="preserve">ный ремонт автомобильных дорог: </w:t>
      </w:r>
      <w:r w:rsidR="00C65C4F">
        <w:rPr>
          <w:rFonts w:ascii="Times New Roman" w:hAnsi="Times New Roman" w:cs="Times New Roman"/>
          <w:sz w:val="28"/>
          <w:szCs w:val="28"/>
        </w:rPr>
        <w:t xml:space="preserve">г. Пушкино, </w:t>
      </w:r>
      <w:r w:rsidR="00CE72C3" w:rsidRPr="004B53B8">
        <w:rPr>
          <w:rFonts w:ascii="Times New Roman" w:hAnsi="Times New Roman" w:cs="Times New Roman"/>
          <w:sz w:val="28"/>
          <w:szCs w:val="28"/>
        </w:rPr>
        <w:t>м</w:t>
      </w:r>
      <w:r w:rsidR="00C65C4F">
        <w:rPr>
          <w:rFonts w:ascii="Times New Roman" w:hAnsi="Times New Roman" w:cs="Times New Roman"/>
          <w:sz w:val="28"/>
          <w:szCs w:val="28"/>
        </w:rPr>
        <w:t>-н</w:t>
      </w:r>
      <w:r w:rsidR="00CE72C3" w:rsidRPr="004B53B8">
        <w:rPr>
          <w:rFonts w:ascii="Times New Roman" w:hAnsi="Times New Roman" w:cs="Times New Roman"/>
          <w:sz w:val="28"/>
          <w:szCs w:val="28"/>
        </w:rPr>
        <w:t xml:space="preserve"> Клязьма, </w:t>
      </w:r>
      <w:r w:rsidR="00C65C4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E72C3" w:rsidRPr="004B53B8">
        <w:rPr>
          <w:rFonts w:ascii="Times New Roman" w:hAnsi="Times New Roman" w:cs="Times New Roman"/>
          <w:sz w:val="28"/>
          <w:szCs w:val="28"/>
        </w:rPr>
        <w:t xml:space="preserve">ул. Белинского; г. Пушкино, </w:t>
      </w:r>
      <w:r w:rsidR="00FD6A4E">
        <w:rPr>
          <w:rFonts w:ascii="Times New Roman" w:hAnsi="Times New Roman" w:cs="Times New Roman"/>
          <w:sz w:val="28"/>
          <w:szCs w:val="28"/>
        </w:rPr>
        <w:t xml:space="preserve"> </w:t>
      </w:r>
      <w:r w:rsidR="00CE72C3" w:rsidRPr="004B53B8">
        <w:rPr>
          <w:rFonts w:ascii="Times New Roman" w:hAnsi="Times New Roman" w:cs="Times New Roman"/>
          <w:sz w:val="28"/>
          <w:szCs w:val="28"/>
        </w:rPr>
        <w:t>м-н Новая Деревня, в районе ДСК Моспроектовец</w:t>
      </w:r>
      <w:r w:rsidR="00C65C4F">
        <w:rPr>
          <w:rFonts w:ascii="Times New Roman" w:hAnsi="Times New Roman" w:cs="Times New Roman"/>
          <w:sz w:val="28"/>
          <w:szCs w:val="28"/>
        </w:rPr>
        <w:t xml:space="preserve">; </w:t>
      </w:r>
      <w:r w:rsidR="00CE72C3" w:rsidRPr="004B53B8">
        <w:rPr>
          <w:rFonts w:ascii="Times New Roman" w:hAnsi="Times New Roman" w:cs="Times New Roman"/>
          <w:sz w:val="28"/>
          <w:szCs w:val="28"/>
        </w:rPr>
        <w:t xml:space="preserve"> г.</w:t>
      </w:r>
      <w:r w:rsidR="00C65C4F">
        <w:rPr>
          <w:rFonts w:ascii="Times New Roman" w:hAnsi="Times New Roman" w:cs="Times New Roman"/>
          <w:sz w:val="28"/>
          <w:szCs w:val="28"/>
        </w:rPr>
        <w:t xml:space="preserve"> </w:t>
      </w:r>
      <w:r w:rsidR="00CE72C3" w:rsidRPr="004B53B8">
        <w:rPr>
          <w:rFonts w:ascii="Times New Roman" w:hAnsi="Times New Roman" w:cs="Times New Roman"/>
          <w:sz w:val="28"/>
          <w:szCs w:val="28"/>
        </w:rPr>
        <w:t xml:space="preserve">Пушкино, </w:t>
      </w:r>
      <w:r w:rsidR="00C65C4F">
        <w:rPr>
          <w:rFonts w:ascii="Times New Roman" w:hAnsi="Times New Roman" w:cs="Times New Roman"/>
          <w:sz w:val="28"/>
          <w:szCs w:val="28"/>
        </w:rPr>
        <w:t xml:space="preserve">ул. </w:t>
      </w:r>
      <w:r w:rsidR="00CE72C3" w:rsidRPr="004B53B8">
        <w:rPr>
          <w:rFonts w:ascii="Times New Roman" w:hAnsi="Times New Roman" w:cs="Times New Roman"/>
          <w:sz w:val="28"/>
          <w:szCs w:val="28"/>
        </w:rPr>
        <w:t>Лермонтова</w:t>
      </w:r>
      <w:r w:rsidR="00FD6A4E">
        <w:rPr>
          <w:rFonts w:ascii="Times New Roman" w:hAnsi="Times New Roman" w:cs="Times New Roman"/>
          <w:sz w:val="28"/>
          <w:szCs w:val="28"/>
        </w:rPr>
        <w:t>;</w:t>
      </w:r>
      <w:r w:rsidR="00D17BB4">
        <w:rPr>
          <w:rFonts w:ascii="Times New Roman" w:hAnsi="Times New Roman" w:cs="Times New Roman"/>
          <w:sz w:val="28"/>
          <w:szCs w:val="28"/>
        </w:rPr>
        <w:t xml:space="preserve"> </w:t>
      </w:r>
      <w:r w:rsidR="00C65C4F">
        <w:rPr>
          <w:rFonts w:ascii="Times New Roman" w:hAnsi="Times New Roman" w:cs="Times New Roman"/>
          <w:sz w:val="28"/>
          <w:szCs w:val="28"/>
        </w:rPr>
        <w:t xml:space="preserve"> </w:t>
      </w:r>
      <w:r w:rsidR="00D17BB4">
        <w:rPr>
          <w:rFonts w:ascii="Times New Roman" w:hAnsi="Times New Roman" w:cs="Times New Roman"/>
          <w:sz w:val="28"/>
          <w:szCs w:val="28"/>
        </w:rPr>
        <w:t>г. Ивантеевка</w:t>
      </w:r>
      <w:r w:rsidR="00C65C4F">
        <w:rPr>
          <w:rFonts w:ascii="Times New Roman" w:hAnsi="Times New Roman" w:cs="Times New Roman"/>
          <w:sz w:val="28"/>
          <w:szCs w:val="28"/>
        </w:rPr>
        <w:t>, м-н Южный,</w:t>
      </w:r>
      <w:r w:rsidR="00D17BB4">
        <w:rPr>
          <w:rFonts w:ascii="Times New Roman" w:hAnsi="Times New Roman" w:cs="Times New Roman"/>
          <w:sz w:val="28"/>
          <w:szCs w:val="28"/>
        </w:rPr>
        <w:t xml:space="preserve"> Андреевский б</w:t>
      </w:r>
      <w:r w:rsidR="008B54F7">
        <w:rPr>
          <w:rFonts w:ascii="Times New Roman" w:hAnsi="Times New Roman" w:cs="Times New Roman"/>
          <w:sz w:val="28"/>
          <w:szCs w:val="28"/>
        </w:rPr>
        <w:t>-</w:t>
      </w:r>
      <w:r w:rsidR="00D17BB4">
        <w:rPr>
          <w:rFonts w:ascii="Times New Roman" w:hAnsi="Times New Roman" w:cs="Times New Roman"/>
          <w:sz w:val="28"/>
          <w:szCs w:val="28"/>
        </w:rPr>
        <w:t>р</w:t>
      </w:r>
      <w:r w:rsidR="00CE72C3" w:rsidRPr="004B53B8">
        <w:rPr>
          <w:rFonts w:ascii="Times New Roman" w:hAnsi="Times New Roman" w:cs="Times New Roman"/>
          <w:sz w:val="28"/>
          <w:szCs w:val="28"/>
        </w:rPr>
        <w:t>.</w:t>
      </w:r>
    </w:p>
    <w:p w:rsidR="004A6E0D" w:rsidRDefault="00CF0052" w:rsidP="00C913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0052">
        <w:rPr>
          <w:rFonts w:ascii="Times New Roman" w:hAnsi="Times New Roman" w:cs="Times New Roman"/>
          <w:sz w:val="28"/>
          <w:szCs w:val="28"/>
        </w:rPr>
        <w:t>В прогнозир</w:t>
      </w:r>
      <w:r>
        <w:rPr>
          <w:rFonts w:ascii="Times New Roman" w:hAnsi="Times New Roman" w:cs="Times New Roman"/>
          <w:sz w:val="28"/>
          <w:szCs w:val="28"/>
        </w:rPr>
        <w:t>уемом периоде предусматривается</w:t>
      </w:r>
      <w:r w:rsidRPr="00CF0052">
        <w:rPr>
          <w:rFonts w:ascii="Times New Roman" w:hAnsi="Times New Roman" w:cs="Times New Roman"/>
          <w:sz w:val="28"/>
          <w:szCs w:val="28"/>
        </w:rPr>
        <w:t xml:space="preserve"> строительство автомобильных дорог общего пользования регионального значения, соединяющих г. Ивантеевка с п. Лесные Поляны (по ул. Толмачева (промзона) </w:t>
      </w:r>
      <w:r w:rsidR="007F0F16">
        <w:rPr>
          <w:rFonts w:ascii="Times New Roman" w:hAnsi="Times New Roman" w:cs="Times New Roman"/>
          <w:sz w:val="28"/>
          <w:szCs w:val="28"/>
        </w:rPr>
        <w:br/>
      </w:r>
      <w:r w:rsidRPr="00CF0052">
        <w:rPr>
          <w:rFonts w:ascii="Times New Roman" w:hAnsi="Times New Roman" w:cs="Times New Roman"/>
          <w:sz w:val="28"/>
          <w:szCs w:val="28"/>
        </w:rPr>
        <w:t>и «Королев-Ивантеевка-Пушкино-Восточный»), реконструкция автомобильных дорог г. Ивантеевка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0052">
        <w:rPr>
          <w:rFonts w:ascii="Times New Roman" w:hAnsi="Times New Roman" w:cs="Times New Roman"/>
          <w:sz w:val="28"/>
          <w:szCs w:val="28"/>
        </w:rPr>
        <w:t xml:space="preserve"> ул. Большая Кольцевая, ул. Сиреневая, ул. Малая Кольцевая</w:t>
      </w:r>
      <w:r w:rsidR="00F756E8" w:rsidRPr="00F756E8">
        <w:rPr>
          <w:rFonts w:ascii="Times New Roman" w:hAnsi="Times New Roman" w:cs="Times New Roman"/>
          <w:sz w:val="28"/>
          <w:szCs w:val="28"/>
        </w:rPr>
        <w:t xml:space="preserve"> </w:t>
      </w:r>
      <w:r w:rsidR="00F756E8">
        <w:rPr>
          <w:rFonts w:ascii="Times New Roman" w:hAnsi="Times New Roman" w:cs="Times New Roman"/>
          <w:sz w:val="28"/>
          <w:szCs w:val="28"/>
        </w:rPr>
        <w:t>ул. Соловьиная</w:t>
      </w:r>
      <w:r w:rsidRPr="00CF0052">
        <w:rPr>
          <w:rFonts w:ascii="Times New Roman" w:hAnsi="Times New Roman" w:cs="Times New Roman"/>
          <w:sz w:val="28"/>
          <w:szCs w:val="28"/>
        </w:rPr>
        <w:t xml:space="preserve">; строительство и реконструкция региональных автомобильных дорог и транспортно-пересадочных узлов с подъездами </w:t>
      </w:r>
      <w:r w:rsidR="008B54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F0052">
        <w:rPr>
          <w:rFonts w:ascii="Times New Roman" w:hAnsi="Times New Roman" w:cs="Times New Roman"/>
          <w:sz w:val="28"/>
          <w:szCs w:val="28"/>
        </w:rPr>
        <w:t>к населенным пунктам Московской области транспортно-пешеходного маршрута «Дорога в Лавру»; строительство путепровода на 1+500 км автодороги Братовщина – Ельдигино – ММК – Герасимиха – Рахманово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0052">
        <w:rPr>
          <w:rFonts w:ascii="Times New Roman" w:hAnsi="Times New Roman" w:cs="Times New Roman"/>
          <w:sz w:val="28"/>
          <w:szCs w:val="28"/>
        </w:rPr>
        <w:t xml:space="preserve"> </w:t>
      </w:r>
      <w:r w:rsidRPr="003B5820">
        <w:rPr>
          <w:rFonts w:ascii="Times New Roman" w:hAnsi="Times New Roman" w:cs="Times New Roman"/>
          <w:sz w:val="28"/>
          <w:szCs w:val="28"/>
        </w:rPr>
        <w:t xml:space="preserve">капитальный ремонт 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>протяженностью свыше 15 км:</w:t>
      </w:r>
      <w:r w:rsidRPr="003B5820">
        <w:rPr>
          <w:rFonts w:ascii="Times New Roman" w:hAnsi="Times New Roman" w:cs="Times New Roman"/>
          <w:sz w:val="28"/>
          <w:szCs w:val="28"/>
        </w:rPr>
        <w:t xml:space="preserve"> </w:t>
      </w:r>
      <w:r w:rsidR="00A27569">
        <w:rPr>
          <w:rFonts w:ascii="Times New Roman" w:hAnsi="Times New Roman" w:cs="Times New Roman"/>
          <w:sz w:val="28"/>
          <w:szCs w:val="28"/>
        </w:rPr>
        <w:t>г.Ивантеевка, ул.</w:t>
      </w:r>
      <w:r w:rsidR="008B54F7">
        <w:rPr>
          <w:rFonts w:ascii="Times New Roman" w:hAnsi="Times New Roman" w:cs="Times New Roman"/>
          <w:sz w:val="28"/>
          <w:szCs w:val="28"/>
        </w:rPr>
        <w:t xml:space="preserve"> </w:t>
      </w:r>
      <w:r w:rsidR="00A27569">
        <w:rPr>
          <w:rFonts w:ascii="Times New Roman" w:hAnsi="Times New Roman" w:cs="Times New Roman"/>
          <w:sz w:val="28"/>
          <w:szCs w:val="28"/>
        </w:rPr>
        <w:t xml:space="preserve">Соловьиная и Андреевский </w:t>
      </w:r>
      <w:r w:rsidR="00D671B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27569">
        <w:rPr>
          <w:rFonts w:ascii="Times New Roman" w:hAnsi="Times New Roman" w:cs="Times New Roman"/>
          <w:sz w:val="28"/>
          <w:szCs w:val="28"/>
        </w:rPr>
        <w:t>б</w:t>
      </w:r>
      <w:r w:rsidR="008B54F7">
        <w:rPr>
          <w:rFonts w:ascii="Times New Roman" w:hAnsi="Times New Roman" w:cs="Times New Roman"/>
          <w:sz w:val="28"/>
          <w:szCs w:val="28"/>
        </w:rPr>
        <w:t>-</w:t>
      </w:r>
      <w:r w:rsidR="00A27569">
        <w:rPr>
          <w:rFonts w:ascii="Times New Roman" w:hAnsi="Times New Roman" w:cs="Times New Roman"/>
          <w:sz w:val="28"/>
          <w:szCs w:val="28"/>
        </w:rPr>
        <w:t xml:space="preserve">р, </w:t>
      </w:r>
      <w:r w:rsidR="00CE72C3">
        <w:rPr>
          <w:rFonts w:ascii="Times New Roman" w:hAnsi="Times New Roman" w:cs="Times New Roman"/>
          <w:sz w:val="28"/>
          <w:szCs w:val="28"/>
        </w:rPr>
        <w:t xml:space="preserve">с. Тарасовка, с. Ельдигино, д. Могильцы, д. Григорково при включении </w:t>
      </w:r>
      <w:r w:rsidR="008B54F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E72C3">
        <w:rPr>
          <w:rFonts w:ascii="Times New Roman" w:hAnsi="Times New Roman" w:cs="Times New Roman"/>
          <w:sz w:val="28"/>
          <w:szCs w:val="28"/>
        </w:rPr>
        <w:t xml:space="preserve">в план софинансирования из бюджета Московской области. </w:t>
      </w:r>
    </w:p>
    <w:p w:rsidR="006E2770" w:rsidRPr="00AF02D0" w:rsidRDefault="004A6E0D" w:rsidP="004A6E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– </w:t>
      </w:r>
      <w:r w:rsidRPr="008A5103">
        <w:rPr>
          <w:rFonts w:ascii="Times New Roman" w:hAnsi="Times New Roman" w:cs="Times New Roman"/>
          <w:sz w:val="28"/>
          <w:szCs w:val="28"/>
        </w:rPr>
        <w:t>строительство автомобильных дорог общего пользования местного значения к земельным участкам, выделенным много</w:t>
      </w:r>
      <w:r>
        <w:rPr>
          <w:rFonts w:ascii="Times New Roman" w:hAnsi="Times New Roman" w:cs="Times New Roman"/>
          <w:sz w:val="28"/>
          <w:szCs w:val="28"/>
        </w:rPr>
        <w:t xml:space="preserve">детным семьям </w:t>
      </w:r>
      <w:r w:rsidR="007F0F16">
        <w:rPr>
          <w:rFonts w:ascii="Times New Roman" w:hAnsi="Times New Roman" w:cs="Times New Roman"/>
          <w:sz w:val="28"/>
          <w:szCs w:val="28"/>
        </w:rPr>
        <w:br/>
      </w:r>
      <w:r w:rsidR="008B54F7">
        <w:rPr>
          <w:rFonts w:ascii="Times New Roman" w:hAnsi="Times New Roman" w:cs="Times New Roman"/>
          <w:sz w:val="28"/>
          <w:szCs w:val="28"/>
        </w:rPr>
        <w:t>в д. Григ</w:t>
      </w:r>
      <w:r>
        <w:rPr>
          <w:rFonts w:ascii="Times New Roman" w:hAnsi="Times New Roman" w:cs="Times New Roman"/>
          <w:sz w:val="28"/>
          <w:szCs w:val="28"/>
        </w:rPr>
        <w:t>орко</w:t>
      </w:r>
      <w:r w:rsidR="008B54F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о,</w:t>
      </w:r>
      <w:r w:rsidR="008B54F7">
        <w:rPr>
          <w:rFonts w:ascii="Times New Roman" w:hAnsi="Times New Roman" w:cs="Times New Roman"/>
          <w:sz w:val="28"/>
          <w:szCs w:val="28"/>
        </w:rPr>
        <w:t xml:space="preserve"> с. Тарасовское</w:t>
      </w:r>
      <w:r w:rsidR="007678CD">
        <w:rPr>
          <w:rFonts w:ascii="Times New Roman" w:hAnsi="Times New Roman" w:cs="Times New Roman"/>
          <w:sz w:val="28"/>
          <w:szCs w:val="28"/>
        </w:rPr>
        <w:t>, с. Ельдигино и д.</w:t>
      </w:r>
      <w:r w:rsidR="008B54F7">
        <w:rPr>
          <w:rFonts w:ascii="Times New Roman" w:hAnsi="Times New Roman" w:cs="Times New Roman"/>
          <w:sz w:val="28"/>
          <w:szCs w:val="28"/>
        </w:rPr>
        <w:t xml:space="preserve"> </w:t>
      </w:r>
      <w:r w:rsidR="007678CD">
        <w:rPr>
          <w:rFonts w:ascii="Times New Roman" w:hAnsi="Times New Roman" w:cs="Times New Roman"/>
          <w:sz w:val="28"/>
          <w:szCs w:val="28"/>
        </w:rPr>
        <w:t>Могильцы.</w:t>
      </w:r>
      <w:r w:rsidR="008B54F7">
        <w:rPr>
          <w:rFonts w:ascii="Times New Roman" w:hAnsi="Times New Roman" w:cs="Times New Roman"/>
          <w:sz w:val="28"/>
          <w:szCs w:val="28"/>
        </w:rPr>
        <w:t xml:space="preserve"> </w:t>
      </w:r>
      <w:r w:rsidR="006E2770">
        <w:rPr>
          <w:rFonts w:ascii="Times New Roman" w:hAnsi="Times New Roman" w:cs="Times New Roman"/>
          <w:sz w:val="28"/>
          <w:szCs w:val="28"/>
        </w:rPr>
        <w:t>В 2022 году начались мероприятия по разработке проектно</w:t>
      </w:r>
      <w:r w:rsidR="00117236">
        <w:rPr>
          <w:rFonts w:ascii="Times New Roman" w:hAnsi="Times New Roman" w:cs="Times New Roman"/>
          <w:sz w:val="28"/>
          <w:szCs w:val="28"/>
        </w:rPr>
        <w:t>-</w:t>
      </w:r>
      <w:r w:rsidR="006E2770">
        <w:rPr>
          <w:rFonts w:ascii="Times New Roman" w:hAnsi="Times New Roman" w:cs="Times New Roman"/>
          <w:sz w:val="28"/>
          <w:szCs w:val="28"/>
        </w:rPr>
        <w:t>сметной документации</w:t>
      </w:r>
      <w:r w:rsidR="008B54F7">
        <w:rPr>
          <w:rFonts w:ascii="Times New Roman" w:hAnsi="Times New Roman" w:cs="Times New Roman"/>
          <w:sz w:val="28"/>
          <w:szCs w:val="28"/>
        </w:rPr>
        <w:t>.</w:t>
      </w:r>
    </w:p>
    <w:p w:rsidR="00AD7991" w:rsidRDefault="004A6E0D" w:rsidP="00C91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326">
        <w:rPr>
          <w:rFonts w:ascii="Times New Roman" w:hAnsi="Times New Roman" w:cs="Times New Roman"/>
          <w:sz w:val="28"/>
          <w:szCs w:val="28"/>
        </w:rPr>
        <w:t>Комплексный подход к решению проблем дорожно-транспортного комплекса Городского округа позволит в основном преодолеть инфраструктурные ограничения экономического роста, обеспечить сбалансированное развитие транспортной системы и удовлетворить возрастающий спрос на транспортные услуги.</w:t>
      </w:r>
    </w:p>
    <w:p w:rsidR="00794E22" w:rsidRDefault="00794E22" w:rsidP="00AD79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7991" w:rsidRPr="007002B1" w:rsidRDefault="00AD7991" w:rsidP="00AD799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B1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</w:t>
      </w:r>
    </w:p>
    <w:p w:rsidR="00B2100F" w:rsidRPr="00CD3A89" w:rsidRDefault="00B2100F" w:rsidP="00B21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A89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является неотъемлемой частью социально - экономического развития Городского округа и имеет устойчивую тенденцию. Перспективы разви</w:t>
      </w:r>
      <w:r>
        <w:rPr>
          <w:rFonts w:ascii="Times New Roman" w:hAnsi="Times New Roman" w:cs="Times New Roman"/>
          <w:sz w:val="28"/>
          <w:szCs w:val="28"/>
        </w:rPr>
        <w:t xml:space="preserve">тия экономики, ее устойчивость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CD3A89">
        <w:rPr>
          <w:rFonts w:ascii="Times New Roman" w:hAnsi="Times New Roman" w:cs="Times New Roman"/>
          <w:sz w:val="28"/>
          <w:szCs w:val="28"/>
        </w:rPr>
        <w:t xml:space="preserve">в полной мере зависят от развития малого и среднего бизнеса. Вклад малого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CD3A89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в развитие экономики Городского округа определяется его гибкостью, мобильностью реагирования на изменение рыночного спроса, долей доходов в бюджетной системе, созданием новых рабочих мест. </w:t>
      </w:r>
    </w:p>
    <w:p w:rsidR="00B2100F" w:rsidRPr="00CD3A89" w:rsidRDefault="00B2100F" w:rsidP="00B21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A89">
        <w:rPr>
          <w:rFonts w:ascii="Times New Roman" w:hAnsi="Times New Roman" w:cs="Times New Roman"/>
          <w:sz w:val="28"/>
          <w:szCs w:val="28"/>
        </w:rPr>
        <w:t xml:space="preserve">Прогнозирование развития малого и среднего предпринимательства осуществлялось с учетом реальных экономических условий в стране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 поддержки предпринимательства на государственном и </w:t>
      </w:r>
      <w:r w:rsidRPr="00CD3A89">
        <w:rPr>
          <w:rFonts w:ascii="Times New Roman" w:hAnsi="Times New Roman" w:cs="Times New Roman"/>
          <w:sz w:val="28"/>
          <w:szCs w:val="28"/>
        </w:rPr>
        <w:t>муниципальном уровнях.</w:t>
      </w:r>
    </w:p>
    <w:p w:rsidR="00B2100F" w:rsidRPr="00CD3A89" w:rsidRDefault="00B2100F" w:rsidP="00B21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A89">
        <w:rPr>
          <w:rFonts w:ascii="Times New Roman" w:hAnsi="Times New Roman" w:cs="Times New Roman"/>
          <w:sz w:val="28"/>
          <w:szCs w:val="28"/>
        </w:rPr>
        <w:t>По оценке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D3A89">
        <w:rPr>
          <w:rFonts w:ascii="Times New Roman" w:hAnsi="Times New Roman" w:cs="Times New Roman"/>
          <w:sz w:val="28"/>
          <w:szCs w:val="28"/>
        </w:rPr>
        <w:t xml:space="preserve"> года общее количество субъектов малого и среднего предпринимательства в Городском округе – юридических лиц составит боле</w:t>
      </w:r>
      <w:r>
        <w:rPr>
          <w:rFonts w:ascii="Times New Roman" w:hAnsi="Times New Roman" w:cs="Times New Roman"/>
          <w:sz w:val="28"/>
          <w:szCs w:val="28"/>
        </w:rPr>
        <w:t xml:space="preserve">е            </w:t>
      </w:r>
      <w:r w:rsidRPr="00CD3A89">
        <w:rPr>
          <w:rFonts w:ascii="Times New Roman" w:hAnsi="Times New Roman" w:cs="Times New Roman"/>
          <w:sz w:val="28"/>
          <w:szCs w:val="28"/>
        </w:rPr>
        <w:t xml:space="preserve">5 тыс. единиц, численность занятых в секторе составит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CD3A89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3A89">
        <w:rPr>
          <w:rFonts w:ascii="Times New Roman" w:hAnsi="Times New Roman" w:cs="Times New Roman"/>
          <w:sz w:val="28"/>
          <w:szCs w:val="28"/>
        </w:rPr>
        <w:t xml:space="preserve"> тыс. человек.</w:t>
      </w:r>
    </w:p>
    <w:p w:rsidR="00B2100F" w:rsidRPr="00AB71E9" w:rsidRDefault="00B2100F" w:rsidP="00B21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838">
        <w:rPr>
          <w:rFonts w:ascii="Times New Roman" w:hAnsi="Times New Roman" w:cs="Times New Roman"/>
          <w:sz w:val="28"/>
          <w:szCs w:val="28"/>
        </w:rPr>
        <w:t xml:space="preserve">Нестабильная экономическая ситуация в стране, в связи с началом специальной военной операции </w:t>
      </w:r>
      <w:r w:rsidR="00D85F1D">
        <w:rPr>
          <w:rFonts w:ascii="Times New Roman" w:hAnsi="Times New Roman" w:cs="Times New Roman"/>
          <w:sz w:val="28"/>
          <w:szCs w:val="28"/>
        </w:rPr>
        <w:t>Р</w:t>
      </w:r>
      <w:r w:rsidR="00571416">
        <w:rPr>
          <w:rFonts w:ascii="Times New Roman" w:hAnsi="Times New Roman" w:cs="Times New Roman"/>
          <w:sz w:val="28"/>
          <w:szCs w:val="28"/>
        </w:rPr>
        <w:t>оссии</w:t>
      </w:r>
      <w:r w:rsidRPr="00FA2838">
        <w:rPr>
          <w:rFonts w:ascii="Times New Roman" w:hAnsi="Times New Roman" w:cs="Times New Roman"/>
          <w:sz w:val="28"/>
          <w:szCs w:val="28"/>
        </w:rPr>
        <w:t xml:space="preserve"> на </w:t>
      </w:r>
      <w:r w:rsidR="0059709E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FA2838">
        <w:rPr>
          <w:rFonts w:ascii="Times New Roman" w:hAnsi="Times New Roman" w:cs="Times New Roman"/>
          <w:sz w:val="28"/>
          <w:szCs w:val="28"/>
        </w:rPr>
        <w:t>Украин</w:t>
      </w:r>
      <w:r w:rsidR="0059709E">
        <w:rPr>
          <w:rFonts w:ascii="Times New Roman" w:hAnsi="Times New Roman" w:cs="Times New Roman"/>
          <w:sz w:val="28"/>
          <w:szCs w:val="28"/>
        </w:rPr>
        <w:t>ы</w:t>
      </w:r>
      <w:r w:rsidRPr="00FA2838">
        <w:rPr>
          <w:rFonts w:ascii="Times New Roman" w:hAnsi="Times New Roman" w:cs="Times New Roman"/>
          <w:sz w:val="28"/>
          <w:szCs w:val="28"/>
        </w:rPr>
        <w:t xml:space="preserve"> и введен</w:t>
      </w:r>
      <w:r w:rsidR="000A7568">
        <w:rPr>
          <w:rFonts w:ascii="Times New Roman" w:hAnsi="Times New Roman" w:cs="Times New Roman"/>
          <w:sz w:val="28"/>
          <w:szCs w:val="28"/>
        </w:rPr>
        <w:t>ием</w:t>
      </w:r>
      <w:r w:rsidRPr="00FA2838">
        <w:rPr>
          <w:rFonts w:ascii="Times New Roman" w:hAnsi="Times New Roman" w:cs="Times New Roman"/>
          <w:sz w:val="28"/>
          <w:szCs w:val="28"/>
        </w:rPr>
        <w:t xml:space="preserve"> иностранными государствами санкционны</w:t>
      </w:r>
      <w:r w:rsidR="000A7568">
        <w:rPr>
          <w:rFonts w:ascii="Times New Roman" w:hAnsi="Times New Roman" w:cs="Times New Roman"/>
          <w:sz w:val="28"/>
          <w:szCs w:val="28"/>
        </w:rPr>
        <w:t>х</w:t>
      </w:r>
      <w:r w:rsidRPr="00FA2838">
        <w:rPr>
          <w:rFonts w:ascii="Times New Roman" w:hAnsi="Times New Roman" w:cs="Times New Roman"/>
          <w:sz w:val="28"/>
          <w:szCs w:val="28"/>
        </w:rPr>
        <w:t xml:space="preserve"> ограничени</w:t>
      </w:r>
      <w:r w:rsidR="000A7568">
        <w:rPr>
          <w:rFonts w:ascii="Times New Roman" w:hAnsi="Times New Roman" w:cs="Times New Roman"/>
          <w:sz w:val="28"/>
          <w:szCs w:val="28"/>
        </w:rPr>
        <w:t>й</w:t>
      </w:r>
      <w:r w:rsidRPr="00FA2838">
        <w:rPr>
          <w:rFonts w:ascii="Times New Roman" w:hAnsi="Times New Roman" w:cs="Times New Roman"/>
          <w:sz w:val="28"/>
          <w:szCs w:val="28"/>
        </w:rPr>
        <w:t xml:space="preserve">, повлекла снижение выручки, отказ от приема новых сотрудников, и в ряде случаев закрытие предприятий в наиболее пострадавших отраслях экономики.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838">
        <w:rPr>
          <w:rFonts w:ascii="Times New Roman" w:hAnsi="Times New Roman" w:cs="Times New Roman"/>
          <w:sz w:val="28"/>
          <w:szCs w:val="28"/>
        </w:rPr>
        <w:t>Поэтому оценивается, что число малых и средних предприятий, включая микропредприятия, уменьшится на 1,9</w:t>
      </w:r>
      <w:r w:rsidR="00FF5FDB">
        <w:rPr>
          <w:rFonts w:ascii="Times New Roman" w:hAnsi="Times New Roman" w:cs="Times New Roman"/>
          <w:sz w:val="28"/>
          <w:szCs w:val="28"/>
        </w:rPr>
        <w:t xml:space="preserve">% </w:t>
      </w:r>
      <w:r w:rsidRPr="00FA2838">
        <w:rPr>
          <w:rFonts w:ascii="Times New Roman" w:hAnsi="Times New Roman" w:cs="Times New Roman"/>
          <w:sz w:val="28"/>
          <w:szCs w:val="28"/>
        </w:rPr>
        <w:t>по сравнению с предыдущим годом. Снижение показ</w:t>
      </w:r>
      <w:r>
        <w:rPr>
          <w:rFonts w:ascii="Times New Roman" w:hAnsi="Times New Roman" w:cs="Times New Roman"/>
          <w:sz w:val="28"/>
          <w:szCs w:val="28"/>
        </w:rPr>
        <w:t xml:space="preserve">ателя наблюдается </w:t>
      </w:r>
      <w:r w:rsidRPr="00FA2838">
        <w:rPr>
          <w:rFonts w:ascii="Times New Roman" w:hAnsi="Times New Roman" w:cs="Times New Roman"/>
          <w:sz w:val="28"/>
          <w:szCs w:val="28"/>
        </w:rPr>
        <w:t>в таких отраслях как обрабатывающее производство, строительство.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A89">
        <w:rPr>
          <w:rFonts w:ascii="Times New Roman" w:hAnsi="Times New Roman" w:cs="Times New Roman"/>
          <w:sz w:val="28"/>
          <w:szCs w:val="28"/>
        </w:rPr>
        <w:t>В прогнозируемом периоде планируется восстановление положительной динамики темпов роста числа малых и средних предприятий (включая м</w:t>
      </w:r>
      <w:r>
        <w:rPr>
          <w:rFonts w:ascii="Times New Roman" w:hAnsi="Times New Roman" w:cs="Times New Roman"/>
          <w:sz w:val="28"/>
          <w:szCs w:val="28"/>
        </w:rPr>
        <w:t xml:space="preserve">икропредприятия) </w:t>
      </w:r>
      <w:r w:rsidRPr="00AB71E9">
        <w:rPr>
          <w:rFonts w:ascii="Times New Roman" w:hAnsi="Times New Roman" w:cs="Times New Roman"/>
          <w:sz w:val="28"/>
          <w:szCs w:val="28"/>
        </w:rPr>
        <w:t>до уровня 102</w:t>
      </w:r>
      <w:r w:rsidR="00D85F1D">
        <w:rPr>
          <w:rFonts w:ascii="Times New Roman" w:hAnsi="Times New Roman" w:cs="Times New Roman"/>
          <w:sz w:val="28"/>
          <w:szCs w:val="28"/>
        </w:rPr>
        <w:t>% ежегодно</w:t>
      </w:r>
      <w:r w:rsidRPr="00AB71E9">
        <w:rPr>
          <w:rFonts w:ascii="Times New Roman" w:hAnsi="Times New Roman" w:cs="Times New Roman"/>
          <w:sz w:val="28"/>
          <w:szCs w:val="28"/>
        </w:rPr>
        <w:t xml:space="preserve"> и к 2030 году число малых и средних предприятий достигнет свыше 5,9 тыс. единиц по второму варианту расчетов. </w:t>
      </w:r>
    </w:p>
    <w:p w:rsidR="00B2100F" w:rsidRDefault="00B2100F" w:rsidP="00B21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1E9">
        <w:rPr>
          <w:rFonts w:ascii="Times New Roman" w:hAnsi="Times New Roman" w:cs="Times New Roman"/>
          <w:sz w:val="28"/>
          <w:szCs w:val="28"/>
        </w:rPr>
        <w:t xml:space="preserve">С целью создания максимально благоприятных условий для ведения предпринимательской деятельности Администрацией Городского округа реализуются мероприятия подпрограммы </w:t>
      </w:r>
      <w:r w:rsidR="00254832">
        <w:rPr>
          <w:rFonts w:ascii="Times New Roman" w:hAnsi="Times New Roman" w:cs="Times New Roman"/>
          <w:sz w:val="28"/>
          <w:szCs w:val="28"/>
        </w:rPr>
        <w:t xml:space="preserve">3 </w:t>
      </w:r>
      <w:r w:rsidRPr="00AB71E9"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предпринимательства» муниципальной программы «Предпринимательство»</w:t>
      </w:r>
      <w:r w:rsidR="00BB3D2B">
        <w:rPr>
          <w:rFonts w:ascii="Times New Roman" w:hAnsi="Times New Roman" w:cs="Times New Roman"/>
          <w:sz w:val="28"/>
          <w:szCs w:val="28"/>
        </w:rPr>
        <w:t xml:space="preserve">               и участие субъектов малого и среднего предпринимательства в целевых мероприятиях соответствующей государственной программы Московской области</w:t>
      </w:r>
      <w:r w:rsidRPr="00AB71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100F" w:rsidRDefault="00B2100F" w:rsidP="00B21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A89">
        <w:rPr>
          <w:rFonts w:ascii="Times New Roman" w:hAnsi="Times New Roman" w:cs="Times New Roman"/>
          <w:sz w:val="28"/>
          <w:szCs w:val="28"/>
        </w:rPr>
        <w:t xml:space="preserve">В дальнейшей перспективе реализация мер по развитию бизнеса будет продолжена, в том числе в рамках реализации национального проекта «Малый бизнес и поддержка индивидуальной предпринимательской инициативы» </w:t>
      </w:r>
      <w:r w:rsidR="004B640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D3A89">
        <w:rPr>
          <w:rFonts w:ascii="Times New Roman" w:hAnsi="Times New Roman" w:cs="Times New Roman"/>
          <w:sz w:val="28"/>
          <w:szCs w:val="28"/>
        </w:rPr>
        <w:t>и работы Центра «Мой бизнес», что будет способствовать созданию благоприятных условий для развития данного сектора экономики, 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конкурентной среды в экономике</w:t>
      </w:r>
      <w:r w:rsidRPr="00CD3A89">
        <w:rPr>
          <w:rFonts w:ascii="Times New Roman" w:hAnsi="Times New Roman" w:cs="Times New Roman"/>
          <w:sz w:val="28"/>
          <w:szCs w:val="28"/>
        </w:rPr>
        <w:t>, увеличение числа субъектов малого и среднего предпринимательства, о</w:t>
      </w:r>
      <w:r>
        <w:rPr>
          <w:rFonts w:ascii="Times New Roman" w:hAnsi="Times New Roman" w:cs="Times New Roman"/>
          <w:sz w:val="28"/>
          <w:szCs w:val="28"/>
        </w:rPr>
        <w:t xml:space="preserve">беспечение занятости населения </w:t>
      </w:r>
      <w:r w:rsidR="004B640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и развитие самозанятости в Г</w:t>
      </w:r>
      <w:r w:rsidRPr="00CD3A89">
        <w:rPr>
          <w:rFonts w:ascii="Times New Roman" w:hAnsi="Times New Roman" w:cs="Times New Roman"/>
          <w:sz w:val="28"/>
          <w:szCs w:val="28"/>
        </w:rPr>
        <w:t>ородском округе.</w:t>
      </w:r>
    </w:p>
    <w:p w:rsidR="00B2100F" w:rsidRDefault="00B2100F" w:rsidP="00B21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991" w:rsidRPr="007002B1" w:rsidRDefault="00AD7991" w:rsidP="00AD7991">
      <w:pPr>
        <w:pStyle w:val="a3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7002B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Инвестиции</w:t>
      </w:r>
    </w:p>
    <w:p w:rsidR="004E3451" w:rsidRPr="004E3451" w:rsidRDefault="004E3451" w:rsidP="004E34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4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Целью инвестиционной политики является обеспечение устойчивого социально-экономического развития, </w:t>
      </w:r>
      <w:r w:rsidRPr="004E3451">
        <w:rPr>
          <w:rFonts w:ascii="Times New Roman" w:eastAsia="Calibri" w:hAnsi="Times New Roman" w:cs="Times New Roman"/>
          <w:sz w:val="28"/>
          <w:szCs w:val="28"/>
        </w:rPr>
        <w:t>создание новых рабочих мест</w:t>
      </w:r>
      <w:r w:rsidRPr="004E34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4E34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  <w:t>и повышение качества жизни населения за счет эффективного использования бюджетных и привлечения внебюджетных ресурсов. Привлечение инвестиций в экономику является одной из важнейших задач Городского округа.</w:t>
      </w:r>
    </w:p>
    <w:p w:rsidR="004E3451" w:rsidRPr="004E3451" w:rsidRDefault="004E3451" w:rsidP="004E34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451">
        <w:rPr>
          <w:rFonts w:ascii="Times New Roman" w:hAnsi="Times New Roman"/>
          <w:sz w:val="28"/>
          <w:szCs w:val="28"/>
        </w:rPr>
        <w:t xml:space="preserve">Экономика Городского округа как неотъемлемая часть российской экономической системы испытала ощутимые трудности, связанные </w:t>
      </w:r>
      <w:r w:rsidRPr="004E3451">
        <w:rPr>
          <w:rFonts w:ascii="Times New Roman" w:hAnsi="Times New Roman"/>
          <w:sz w:val="28"/>
          <w:szCs w:val="28"/>
        </w:rPr>
        <w:br/>
        <w:t xml:space="preserve">с </w:t>
      </w:r>
      <w:r w:rsidR="007002B1">
        <w:rPr>
          <w:rFonts w:ascii="Times New Roman" w:hAnsi="Times New Roman"/>
          <w:sz w:val="28"/>
          <w:szCs w:val="28"/>
          <w:lang w:val="en-US"/>
        </w:rPr>
        <w:t>COVID</w:t>
      </w:r>
      <w:r w:rsidR="007002B1" w:rsidRPr="007002B1">
        <w:rPr>
          <w:rFonts w:ascii="Times New Roman" w:hAnsi="Times New Roman"/>
          <w:sz w:val="28"/>
          <w:szCs w:val="28"/>
        </w:rPr>
        <w:t>-19</w:t>
      </w:r>
      <w:r w:rsidRPr="004E3451">
        <w:rPr>
          <w:rFonts w:ascii="Times New Roman" w:hAnsi="Times New Roman"/>
          <w:sz w:val="28"/>
          <w:szCs w:val="28"/>
        </w:rPr>
        <w:t xml:space="preserve">, </w:t>
      </w:r>
      <w:r w:rsidRPr="004E34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 также с проведением специальной военной операци</w:t>
      </w:r>
      <w:r w:rsidR="003E4F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 w:rsidRPr="004E34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России на </w:t>
      </w:r>
      <w:r w:rsidRPr="004E34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территории Украины</w:t>
      </w:r>
      <w:r w:rsidRPr="004E3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повлекшие множественные вынужденные деформации на уровне производств, логистики, </w:t>
      </w:r>
      <w:r w:rsidRPr="004E34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резкое и непредвиденное сокращение рыночного спроса на широкую номенклатуру товаров и услуг, отставание реализации инвестиционных проектов от обозначенных сроков. Снизилась деловая активность, сократились доходы от предпринимательской деятельности, что привело к снижению объема инвестиций в основной капитал.</w:t>
      </w:r>
    </w:p>
    <w:p w:rsidR="004E3451" w:rsidRPr="004E3451" w:rsidRDefault="004E3451" w:rsidP="004E345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>В 2022 году ожидается спад инвестиционной активности. Объем инвестиций в основной капитал за счет всех источников финансирования по полному кругу снизится до уровня 87% по индексу физического объема или до 25055,1 млн рублей. Объем инвестиций в основной капитал за счет всех источников финансирования по «крупным и средним» предприятиям снизится до уровня 84,2% по индексу физического объема или до 21356 млн рублей.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 xml:space="preserve">Снижение объема инвестиционных вложений в 2022 году обусловлено </w:t>
      </w:r>
      <w:r w:rsidRPr="004E3451">
        <w:rPr>
          <w:rFonts w:ascii="Times New Roman" w:hAnsi="Times New Roman"/>
          <w:sz w:val="28"/>
          <w:szCs w:val="28"/>
        </w:rPr>
        <w:br/>
        <w:t>в том числе завершением в 2021 году реализации инвестиционного проекта ООО «Бауцентр Рус» в размере 1,7 млрд рублей, переносом сроков реализации проектов по модернизации предприятий (ООО «Роберт», ООО «Стандарт МЛ»).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>Основными направлениями вложения инвестиций в основной капитал на территории Городского округа в 2022 году является реализация следующих инвестиционных проектов:</w:t>
      </w:r>
    </w:p>
    <w:p w:rsidR="004E3451" w:rsidRPr="004E3451" w:rsidRDefault="004E3451" w:rsidP="004E345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eastAsia="Calibri" w:hAnsi="Times New Roman" w:cs="Times New Roman"/>
          <w:sz w:val="28"/>
          <w:szCs w:val="28"/>
        </w:rPr>
        <w:t>строительство многоквартирных жилых домов ООО «СЗ Флагман» в м-не «Новое Пушкино», объем инвестиционных вложений составит около 3 млрд рублей;</w:t>
      </w:r>
    </w:p>
    <w:p w:rsidR="004E3451" w:rsidRPr="004E3451" w:rsidRDefault="004E3451" w:rsidP="004E345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>создание индустриального парка «PNK парк Пушкино 2» (</w:t>
      </w:r>
      <w:r w:rsidRPr="004E3451">
        <w:rPr>
          <w:rFonts w:ascii="Times New Roman" w:hAnsi="Times New Roman"/>
          <w:sz w:val="28"/>
          <w:szCs w:val="28"/>
          <w:lang w:val="en-US"/>
        </w:rPr>
        <w:t>PNK</w:t>
      </w:r>
      <w:r w:rsidRPr="004E3451">
        <w:rPr>
          <w:rFonts w:ascii="Times New Roman" w:hAnsi="Times New Roman"/>
          <w:sz w:val="28"/>
          <w:szCs w:val="28"/>
        </w:rPr>
        <w:t xml:space="preserve"> </w:t>
      </w:r>
      <w:r w:rsidRPr="004E3451">
        <w:rPr>
          <w:rFonts w:ascii="Times New Roman" w:hAnsi="Times New Roman"/>
          <w:sz w:val="28"/>
          <w:szCs w:val="28"/>
          <w:lang w:val="en-US"/>
        </w:rPr>
        <w:t>group</w:t>
      </w:r>
      <w:r w:rsidRPr="004E3451">
        <w:rPr>
          <w:rFonts w:ascii="Times New Roman" w:hAnsi="Times New Roman"/>
          <w:sz w:val="28"/>
          <w:szCs w:val="28"/>
        </w:rPr>
        <w:t>); объем инвестиционных вложений составит 3 млрд рублей;</w:t>
      </w:r>
    </w:p>
    <w:p w:rsidR="004E3451" w:rsidRPr="004E3451" w:rsidRDefault="004E3451" w:rsidP="004E345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 w:cs="Times New Roman"/>
          <w:sz w:val="28"/>
          <w:szCs w:val="28"/>
        </w:rPr>
        <w:t xml:space="preserve">строительство фармацевтического складского комплекса  в составе 2-х корпусов </w:t>
      </w:r>
      <w:r w:rsidR="00C85EF9" w:rsidRPr="004E3451">
        <w:rPr>
          <w:rFonts w:ascii="Times New Roman" w:hAnsi="Times New Roman" w:cs="Times New Roman"/>
          <w:sz w:val="28"/>
          <w:szCs w:val="28"/>
        </w:rPr>
        <w:t>(ТСТ-3, ТСТ-4)</w:t>
      </w:r>
      <w:r w:rsidR="00C85EF9">
        <w:rPr>
          <w:rFonts w:ascii="Times New Roman" w:hAnsi="Times New Roman" w:cs="Times New Roman"/>
          <w:sz w:val="28"/>
          <w:szCs w:val="28"/>
        </w:rPr>
        <w:t xml:space="preserve"> </w:t>
      </w:r>
      <w:r w:rsidRPr="004E3451">
        <w:rPr>
          <w:rFonts w:ascii="Times New Roman" w:hAnsi="Times New Roman" w:cs="Times New Roman"/>
          <w:sz w:val="28"/>
          <w:szCs w:val="28"/>
        </w:rPr>
        <w:t>общей площадью 53,7 тыс. кв.м (АО «ТСТ Транссервис»); о</w:t>
      </w:r>
      <w:r w:rsidRPr="004E3451">
        <w:rPr>
          <w:rFonts w:ascii="Times New Roman" w:eastAsia="Times New Roman" w:hAnsi="Times New Roman" w:cs="Times New Roman"/>
          <w:sz w:val="28"/>
          <w:szCs w:val="28"/>
        </w:rPr>
        <w:t>бъем инвестиционных вложений составит 2,3 млрд рублей;</w:t>
      </w:r>
    </w:p>
    <w:p w:rsidR="004E3451" w:rsidRPr="004E3451" w:rsidRDefault="004E3451" w:rsidP="004E3451">
      <w:pPr>
        <w:pStyle w:val="a3"/>
        <w:numPr>
          <w:ilvl w:val="0"/>
          <w:numId w:val="6"/>
        </w:numPr>
        <w:shd w:val="clear" w:color="auto" w:fill="FFFFFF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451">
        <w:rPr>
          <w:rFonts w:ascii="Times New Roman" w:hAnsi="Times New Roman" w:cs="Times New Roman"/>
          <w:sz w:val="28"/>
          <w:szCs w:val="28"/>
        </w:rPr>
        <w:t>комплексное техническое перевооружение и реконструкция подстанции «Трубино»</w:t>
      </w:r>
      <w:r w:rsidR="001438B0">
        <w:rPr>
          <w:rFonts w:ascii="Times New Roman" w:hAnsi="Times New Roman" w:cs="Times New Roman"/>
          <w:sz w:val="28"/>
          <w:szCs w:val="28"/>
        </w:rPr>
        <w:t xml:space="preserve"> </w:t>
      </w:r>
      <w:r w:rsidRPr="004E3451">
        <w:rPr>
          <w:rFonts w:ascii="Times New Roman" w:hAnsi="Times New Roman" w:cs="Times New Roman"/>
          <w:sz w:val="28"/>
          <w:szCs w:val="28"/>
        </w:rPr>
        <w:t xml:space="preserve">(в рамках инвестиционной программы ОАО «ФСК ЕЭС»); </w:t>
      </w:r>
      <w:r w:rsidRPr="004E3451">
        <w:rPr>
          <w:rFonts w:ascii="Times New Roman" w:eastAsia="Times New Roman" w:hAnsi="Times New Roman" w:cs="Times New Roman"/>
          <w:sz w:val="28"/>
          <w:szCs w:val="28"/>
        </w:rPr>
        <w:t>объем инвестиционных вложений составит 1,8 млрд рублей;</w:t>
      </w:r>
    </w:p>
    <w:p w:rsidR="004E3451" w:rsidRPr="004E3451" w:rsidRDefault="004E3451" w:rsidP="004E3451">
      <w:pPr>
        <w:pStyle w:val="a3"/>
        <w:numPr>
          <w:ilvl w:val="0"/>
          <w:numId w:val="6"/>
        </w:numPr>
        <w:shd w:val="clear" w:color="auto" w:fill="FFFFFF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451">
        <w:rPr>
          <w:rFonts w:ascii="Times New Roman" w:hAnsi="Times New Roman" w:cs="Times New Roman"/>
          <w:sz w:val="28"/>
          <w:szCs w:val="28"/>
        </w:rPr>
        <w:t>расширение производственно-складского комплекса</w:t>
      </w:r>
      <w:r w:rsidRPr="004E3451">
        <w:rPr>
          <w:rFonts w:ascii="Times New Roman" w:eastAsia="Times New Roman" w:hAnsi="Times New Roman" w:cs="Times New Roman"/>
          <w:sz w:val="28"/>
          <w:szCs w:val="28"/>
        </w:rPr>
        <w:t xml:space="preserve"> ООО </w:t>
      </w:r>
      <w:r w:rsidRPr="004E3451">
        <w:rPr>
          <w:rFonts w:ascii="Times New Roman" w:hAnsi="Times New Roman" w:cs="Times New Roman"/>
          <w:sz w:val="28"/>
          <w:szCs w:val="28"/>
        </w:rPr>
        <w:t>«Хухтамахи С.Н.Г.»; о</w:t>
      </w:r>
      <w:r w:rsidRPr="004E3451">
        <w:rPr>
          <w:rFonts w:ascii="Times New Roman" w:eastAsia="Times New Roman" w:hAnsi="Times New Roman" w:cs="Times New Roman"/>
          <w:sz w:val="28"/>
          <w:szCs w:val="28"/>
        </w:rPr>
        <w:t>бъем инвестиционных вложений составит 603 млн рублей;</w:t>
      </w:r>
    </w:p>
    <w:p w:rsidR="004E3451" w:rsidRPr="004E3451" w:rsidRDefault="004E3451" w:rsidP="004E3451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51">
        <w:rPr>
          <w:rFonts w:ascii="Times New Roman" w:hAnsi="Times New Roman" w:cs="Times New Roman"/>
          <w:sz w:val="28"/>
          <w:szCs w:val="28"/>
        </w:rPr>
        <w:t>создание промышленного кластера по регенерации масла в Рахмановской промзоне (АО «Делфин Групп»); о</w:t>
      </w:r>
      <w:r w:rsidRPr="004E3451">
        <w:rPr>
          <w:rFonts w:ascii="Times New Roman" w:eastAsia="Times New Roman" w:hAnsi="Times New Roman" w:cs="Times New Roman"/>
          <w:sz w:val="28"/>
          <w:szCs w:val="28"/>
        </w:rPr>
        <w:t>бъем инвестиционных вложений составит 430 млн рублей</w:t>
      </w:r>
      <w:r w:rsidRPr="004E3451">
        <w:rPr>
          <w:rFonts w:ascii="Times New Roman" w:hAnsi="Times New Roman" w:cs="Times New Roman"/>
          <w:sz w:val="28"/>
          <w:szCs w:val="28"/>
        </w:rPr>
        <w:t>;</w:t>
      </w:r>
    </w:p>
    <w:p w:rsidR="004E3451" w:rsidRPr="004E3451" w:rsidRDefault="004E3451" w:rsidP="004E345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строительство </w:t>
      </w:r>
      <w:r w:rsidRPr="004E3451">
        <w:rPr>
          <w:rFonts w:ascii="Times New Roman" w:hAnsi="Times New Roman" w:cs="Times New Roman"/>
          <w:sz w:val="28"/>
          <w:szCs w:val="28"/>
        </w:rPr>
        <w:t>подстанции 220/110/10 кВ «Тютчево» («Н.Пушкино», в рамках инвестиционной программы ПАО «Россети Московский регион»); объем инвестиционных вложений составит около 350 млн рублей.</w:t>
      </w:r>
    </w:p>
    <w:p w:rsidR="004E3451" w:rsidRPr="004E3451" w:rsidRDefault="004E3451" w:rsidP="004E34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>Промышленными предприятиями АО «ЛВЗ Топаз» (производство алкогольной продукции), ООО «Нова Ролл-</w:t>
      </w:r>
      <w:r w:rsidR="00EC6F21">
        <w:rPr>
          <w:rFonts w:ascii="Times New Roman" w:hAnsi="Times New Roman"/>
          <w:sz w:val="28"/>
          <w:szCs w:val="28"/>
        </w:rPr>
        <w:t>стрейч</w:t>
      </w:r>
      <w:r w:rsidRPr="004E3451">
        <w:rPr>
          <w:rFonts w:ascii="Times New Roman" w:hAnsi="Times New Roman"/>
          <w:sz w:val="28"/>
          <w:szCs w:val="28"/>
        </w:rPr>
        <w:t xml:space="preserve">» (производство полимерной упаковки), ООО «Импресс Арт» (производство упаковки), ООО «Трубный </w:t>
      </w:r>
      <w:r w:rsidRPr="004E3451">
        <w:rPr>
          <w:rFonts w:ascii="Times New Roman" w:hAnsi="Times New Roman"/>
          <w:sz w:val="28"/>
          <w:szCs w:val="28"/>
        </w:rPr>
        <w:lastRenderedPageBreak/>
        <w:t>завод» (производство готовых металлических изделий), ООО «Геопак» (производство гофроупаковки) проводится модернизация в части закупки нового оборудования для расширения производственных мощностей и транспортных средств.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 xml:space="preserve">Развитие агропромышленного комплекса на территории Городского округа – предмет особого внимания органов власти. Основными отраслями являются молочно-племенное животноводство, выращивание картофеля </w:t>
      </w:r>
      <w:r w:rsidRPr="004E3451">
        <w:rPr>
          <w:rFonts w:ascii="Times New Roman" w:hAnsi="Times New Roman"/>
          <w:sz w:val="28"/>
          <w:szCs w:val="28"/>
        </w:rPr>
        <w:br/>
        <w:t xml:space="preserve">и звероводство. 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>В 2022 году предприятиями агропромышленного комплекса реализуются следующие инвестиционные проекты:</w:t>
      </w:r>
    </w:p>
    <w:p w:rsidR="00C85EF9" w:rsidRDefault="004E3451" w:rsidP="00C85EF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EF9">
        <w:rPr>
          <w:rFonts w:ascii="Times New Roman" w:hAnsi="Times New Roman"/>
          <w:sz w:val="28"/>
          <w:szCs w:val="28"/>
        </w:rPr>
        <w:t>реконструкци</w:t>
      </w:r>
      <w:r w:rsidR="00C85EF9" w:rsidRPr="00C85EF9">
        <w:rPr>
          <w:rFonts w:ascii="Times New Roman" w:hAnsi="Times New Roman"/>
          <w:sz w:val="28"/>
          <w:szCs w:val="28"/>
        </w:rPr>
        <w:t>я</w:t>
      </w:r>
      <w:r w:rsidRPr="00C85EF9">
        <w:rPr>
          <w:rFonts w:ascii="Times New Roman" w:hAnsi="Times New Roman"/>
          <w:sz w:val="28"/>
          <w:szCs w:val="28"/>
        </w:rPr>
        <w:t xml:space="preserve"> молочно-товарной фермы в д. Степаньково </w:t>
      </w:r>
      <w:r w:rsidRPr="00C85EF9">
        <w:rPr>
          <w:rFonts w:ascii="Times New Roman" w:hAnsi="Times New Roman"/>
          <w:sz w:val="28"/>
          <w:szCs w:val="28"/>
        </w:rPr>
        <w:br/>
        <w:t>(АО «Зеленоградское»)</w:t>
      </w:r>
      <w:r w:rsidR="00C85EF9">
        <w:rPr>
          <w:rFonts w:ascii="Times New Roman" w:hAnsi="Times New Roman"/>
          <w:sz w:val="28"/>
          <w:szCs w:val="28"/>
        </w:rPr>
        <w:t>;</w:t>
      </w:r>
      <w:r w:rsidRPr="00C85EF9">
        <w:rPr>
          <w:rFonts w:ascii="Times New Roman" w:hAnsi="Times New Roman"/>
          <w:sz w:val="28"/>
          <w:szCs w:val="28"/>
        </w:rPr>
        <w:t xml:space="preserve"> объем инвестиционных вложений составит 250 млн рублей;</w:t>
      </w:r>
    </w:p>
    <w:p w:rsidR="00C85EF9" w:rsidRDefault="004E3451" w:rsidP="00C85EF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EF9">
        <w:rPr>
          <w:rFonts w:ascii="Times New Roman" w:hAnsi="Times New Roman"/>
          <w:sz w:val="28"/>
          <w:szCs w:val="28"/>
        </w:rPr>
        <w:t>реконструкци</w:t>
      </w:r>
      <w:r w:rsidR="00C85EF9" w:rsidRPr="00C85EF9">
        <w:rPr>
          <w:rFonts w:ascii="Times New Roman" w:hAnsi="Times New Roman"/>
          <w:sz w:val="28"/>
          <w:szCs w:val="28"/>
        </w:rPr>
        <w:t>я</w:t>
      </w:r>
      <w:r w:rsidRPr="00C85EF9">
        <w:rPr>
          <w:rFonts w:ascii="Times New Roman" w:hAnsi="Times New Roman"/>
          <w:sz w:val="28"/>
          <w:szCs w:val="28"/>
        </w:rPr>
        <w:t>, техническо</w:t>
      </w:r>
      <w:r w:rsidR="00C85EF9" w:rsidRPr="00C85EF9">
        <w:rPr>
          <w:rFonts w:ascii="Times New Roman" w:hAnsi="Times New Roman"/>
          <w:sz w:val="28"/>
          <w:szCs w:val="28"/>
        </w:rPr>
        <w:t>е</w:t>
      </w:r>
      <w:r w:rsidRPr="00C85EF9">
        <w:rPr>
          <w:rFonts w:ascii="Times New Roman" w:hAnsi="Times New Roman"/>
          <w:sz w:val="28"/>
          <w:szCs w:val="28"/>
        </w:rPr>
        <w:t xml:space="preserve"> перевооружени</w:t>
      </w:r>
      <w:r w:rsidR="00C85EF9" w:rsidRPr="00C85EF9">
        <w:rPr>
          <w:rFonts w:ascii="Times New Roman" w:hAnsi="Times New Roman"/>
          <w:sz w:val="28"/>
          <w:szCs w:val="28"/>
        </w:rPr>
        <w:t>е</w:t>
      </w:r>
      <w:r w:rsidRPr="00C85EF9">
        <w:rPr>
          <w:rFonts w:ascii="Times New Roman" w:hAnsi="Times New Roman"/>
          <w:sz w:val="28"/>
          <w:szCs w:val="28"/>
        </w:rPr>
        <w:t xml:space="preserve"> производственных, административных и иных зданий, приобретени</w:t>
      </w:r>
      <w:r w:rsidR="00C85EF9" w:rsidRPr="00C85EF9">
        <w:rPr>
          <w:rFonts w:ascii="Times New Roman" w:hAnsi="Times New Roman"/>
          <w:sz w:val="28"/>
          <w:szCs w:val="28"/>
        </w:rPr>
        <w:t>е</w:t>
      </w:r>
      <w:r w:rsidRPr="00C85EF9">
        <w:rPr>
          <w:rFonts w:ascii="Times New Roman" w:hAnsi="Times New Roman"/>
          <w:sz w:val="28"/>
          <w:szCs w:val="28"/>
        </w:rPr>
        <w:t xml:space="preserve"> машин и оборудования (ООО «Ростагрокомплекс»)</w:t>
      </w:r>
      <w:r w:rsidR="00C85EF9" w:rsidRPr="00C85EF9">
        <w:rPr>
          <w:rFonts w:ascii="Times New Roman" w:hAnsi="Times New Roman"/>
          <w:sz w:val="28"/>
          <w:szCs w:val="28"/>
        </w:rPr>
        <w:t>;</w:t>
      </w:r>
      <w:r w:rsidRPr="00C85EF9">
        <w:rPr>
          <w:rFonts w:ascii="Times New Roman" w:hAnsi="Times New Roman"/>
          <w:sz w:val="28"/>
          <w:szCs w:val="28"/>
        </w:rPr>
        <w:t xml:space="preserve"> объем инвестиционных вложений составит 118 млн рублей;</w:t>
      </w:r>
    </w:p>
    <w:p w:rsidR="004E3451" w:rsidRPr="00C85EF9" w:rsidRDefault="004E3451" w:rsidP="00C85EF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EF9">
        <w:rPr>
          <w:rFonts w:ascii="Times New Roman" w:hAnsi="Times New Roman"/>
          <w:sz w:val="28"/>
          <w:szCs w:val="28"/>
        </w:rPr>
        <w:t>строительств</w:t>
      </w:r>
      <w:r w:rsidR="00C85EF9" w:rsidRPr="00C85EF9">
        <w:rPr>
          <w:rFonts w:ascii="Times New Roman" w:hAnsi="Times New Roman"/>
          <w:sz w:val="28"/>
          <w:szCs w:val="28"/>
        </w:rPr>
        <w:t>о</w:t>
      </w:r>
      <w:r w:rsidRPr="00C85EF9">
        <w:rPr>
          <w:rFonts w:ascii="Times New Roman" w:hAnsi="Times New Roman"/>
          <w:sz w:val="28"/>
          <w:szCs w:val="28"/>
        </w:rPr>
        <w:t xml:space="preserve"> второго инновационного комплекса замкнутого цикла по выращиванию рыбы осетровых пород (Пушкинское форелевое и осетровое хозяйство ИП Наумов Е.А.); объем инвестиционных вложений составит 40 млн рублей.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>Ограниченность территории Городского округа в использовании земельных ресурсов не позволяет активно привлекать крупных инвесторов.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 xml:space="preserve">На </w:t>
      </w:r>
      <w:r w:rsidR="00090FA2">
        <w:rPr>
          <w:rFonts w:ascii="Times New Roman" w:hAnsi="Times New Roman"/>
          <w:sz w:val="28"/>
          <w:szCs w:val="28"/>
        </w:rPr>
        <w:t xml:space="preserve">прогнозный </w:t>
      </w:r>
      <w:r w:rsidRPr="004E3451">
        <w:rPr>
          <w:rFonts w:ascii="Times New Roman" w:hAnsi="Times New Roman"/>
          <w:sz w:val="28"/>
          <w:szCs w:val="28"/>
        </w:rPr>
        <w:t>период основными механизмами развития инвестиционного потенциала Городского округа будут являться: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>сопровождение инвесторов на всех этапах реализации инвестиционных проектов;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>оказание инвесторам консультативной, информационной и иной поддержки;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 xml:space="preserve">предоставление инвесторам мер поддержки в рамках существующего законодательства. 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 xml:space="preserve">Сопровождение инвестиционных проектов осуществляется </w:t>
      </w:r>
      <w:r w:rsidRPr="004E3451">
        <w:rPr>
          <w:rFonts w:ascii="Times New Roman" w:hAnsi="Times New Roman"/>
          <w:sz w:val="28"/>
          <w:szCs w:val="28"/>
        </w:rPr>
        <w:br/>
        <w:t>с использованием Единой автоматизированной системы «Перечни инвестиционных проектов, реализуемых и предполагаемых к реализации на территории Московской области, в том числе с участием Московской области». Несмотря на замедление инвестиционной деятельности в связи с с</w:t>
      </w:r>
      <w:r w:rsidR="00735174">
        <w:rPr>
          <w:rFonts w:ascii="Times New Roman" w:hAnsi="Times New Roman"/>
          <w:sz w:val="28"/>
          <w:szCs w:val="28"/>
        </w:rPr>
        <w:t>ан</w:t>
      </w:r>
      <w:r w:rsidRPr="004E3451">
        <w:rPr>
          <w:rFonts w:ascii="Times New Roman" w:hAnsi="Times New Roman"/>
          <w:sz w:val="28"/>
          <w:szCs w:val="28"/>
        </w:rPr>
        <w:t>кционными ограничениями, на территории Городского округа реализуется 31 проект общим объемом инвестиций 45,6 млрд рублей и созданием свыше 11 тыс. рабочих мест</w:t>
      </w:r>
      <w:r w:rsidR="007A2260">
        <w:rPr>
          <w:rFonts w:ascii="Times New Roman" w:hAnsi="Times New Roman"/>
          <w:sz w:val="28"/>
          <w:szCs w:val="28"/>
        </w:rPr>
        <w:t xml:space="preserve"> к 20</w:t>
      </w:r>
      <w:r w:rsidR="00A0039E">
        <w:rPr>
          <w:rFonts w:ascii="Times New Roman" w:hAnsi="Times New Roman"/>
          <w:sz w:val="28"/>
          <w:szCs w:val="28"/>
        </w:rPr>
        <w:t>3</w:t>
      </w:r>
      <w:r w:rsidR="00D53EDF">
        <w:rPr>
          <w:rFonts w:ascii="Times New Roman" w:hAnsi="Times New Roman"/>
          <w:sz w:val="28"/>
          <w:szCs w:val="28"/>
        </w:rPr>
        <w:t xml:space="preserve">0 </w:t>
      </w:r>
      <w:r w:rsidR="007A2260">
        <w:rPr>
          <w:rFonts w:ascii="Times New Roman" w:hAnsi="Times New Roman"/>
          <w:sz w:val="28"/>
          <w:szCs w:val="28"/>
        </w:rPr>
        <w:t>году</w:t>
      </w:r>
      <w:r w:rsidRPr="004E3451">
        <w:rPr>
          <w:rFonts w:ascii="Times New Roman" w:hAnsi="Times New Roman"/>
          <w:sz w:val="28"/>
          <w:szCs w:val="28"/>
        </w:rPr>
        <w:t xml:space="preserve">. 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 xml:space="preserve">После выработки адаптационных механизмов </w:t>
      </w:r>
      <w:r w:rsidR="00A0039E">
        <w:rPr>
          <w:rFonts w:ascii="Times New Roman" w:hAnsi="Times New Roman"/>
          <w:sz w:val="28"/>
          <w:szCs w:val="28"/>
        </w:rPr>
        <w:t xml:space="preserve">в режиме </w:t>
      </w:r>
      <w:r w:rsidRPr="004E3451">
        <w:rPr>
          <w:rFonts w:ascii="Times New Roman" w:hAnsi="Times New Roman"/>
          <w:sz w:val="28"/>
          <w:szCs w:val="28"/>
        </w:rPr>
        <w:t xml:space="preserve">санкционных ограничений ожидается оживление экономики и оздоровление инвестиционной привлекательности. Прогнозируется, что объем </w:t>
      </w:r>
      <w:r w:rsidR="007A2260">
        <w:rPr>
          <w:rFonts w:ascii="Times New Roman" w:hAnsi="Times New Roman"/>
          <w:sz w:val="28"/>
          <w:szCs w:val="28"/>
        </w:rPr>
        <w:t>и</w:t>
      </w:r>
      <w:r w:rsidR="007A2260" w:rsidRPr="007A2260">
        <w:rPr>
          <w:rFonts w:ascii="Times New Roman" w:hAnsi="Times New Roman"/>
          <w:sz w:val="28"/>
          <w:szCs w:val="28"/>
        </w:rPr>
        <w:t>нвестици</w:t>
      </w:r>
      <w:r w:rsidR="007A2260">
        <w:rPr>
          <w:rFonts w:ascii="Times New Roman" w:hAnsi="Times New Roman"/>
          <w:sz w:val="28"/>
          <w:szCs w:val="28"/>
        </w:rPr>
        <w:t>й</w:t>
      </w:r>
      <w:r w:rsidR="007A2260" w:rsidRPr="007A2260">
        <w:rPr>
          <w:rFonts w:ascii="Times New Roman" w:hAnsi="Times New Roman"/>
          <w:sz w:val="28"/>
          <w:szCs w:val="28"/>
        </w:rPr>
        <w:t xml:space="preserve"> в основной капитал за счет всех источников финансирования по полному кругу организаций</w:t>
      </w:r>
      <w:r w:rsidR="007A2260">
        <w:rPr>
          <w:rFonts w:ascii="Times New Roman" w:hAnsi="Times New Roman"/>
          <w:sz w:val="28"/>
          <w:szCs w:val="28"/>
        </w:rPr>
        <w:t xml:space="preserve"> в 2023 году </w:t>
      </w:r>
      <w:r w:rsidR="00A0039E" w:rsidRPr="004E3451">
        <w:rPr>
          <w:rFonts w:ascii="Times New Roman" w:hAnsi="Times New Roman"/>
          <w:sz w:val="28"/>
          <w:szCs w:val="28"/>
        </w:rPr>
        <w:t xml:space="preserve">увеличится на </w:t>
      </w:r>
      <w:r w:rsidR="007A2260">
        <w:rPr>
          <w:rFonts w:ascii="Times New Roman" w:hAnsi="Times New Roman"/>
          <w:sz w:val="28"/>
          <w:szCs w:val="28"/>
        </w:rPr>
        <w:t xml:space="preserve">3,7% </w:t>
      </w:r>
      <w:r w:rsidR="007A2260" w:rsidRPr="004E3451">
        <w:rPr>
          <w:rFonts w:ascii="Times New Roman" w:hAnsi="Times New Roman"/>
          <w:sz w:val="28"/>
          <w:szCs w:val="28"/>
        </w:rPr>
        <w:t xml:space="preserve">по сравнению с уровнем предыдущего года и составит </w:t>
      </w:r>
      <w:r w:rsidR="007A2260" w:rsidRPr="007A2260">
        <w:rPr>
          <w:rFonts w:ascii="Times New Roman" w:hAnsi="Times New Roman"/>
          <w:sz w:val="28"/>
          <w:szCs w:val="28"/>
        </w:rPr>
        <w:lastRenderedPageBreak/>
        <w:t xml:space="preserve">25984,7 </w:t>
      </w:r>
      <w:r w:rsidR="007A2260" w:rsidRPr="004E3451">
        <w:rPr>
          <w:rFonts w:ascii="Times New Roman" w:hAnsi="Times New Roman"/>
          <w:sz w:val="28"/>
          <w:szCs w:val="28"/>
        </w:rPr>
        <w:t>млн рублей по второму варианту расчетов</w:t>
      </w:r>
      <w:r w:rsidR="007A2260">
        <w:rPr>
          <w:rFonts w:ascii="Times New Roman" w:hAnsi="Times New Roman"/>
          <w:sz w:val="28"/>
          <w:szCs w:val="28"/>
        </w:rPr>
        <w:t xml:space="preserve"> в действующих ценах.</w:t>
      </w:r>
      <w:r w:rsidR="007A2260" w:rsidRPr="004E3451">
        <w:rPr>
          <w:rFonts w:ascii="Times New Roman" w:hAnsi="Times New Roman"/>
          <w:sz w:val="28"/>
          <w:szCs w:val="28"/>
        </w:rPr>
        <w:t xml:space="preserve"> </w:t>
      </w:r>
      <w:r w:rsidR="007A2260">
        <w:rPr>
          <w:rFonts w:ascii="Times New Roman" w:hAnsi="Times New Roman"/>
          <w:sz w:val="28"/>
          <w:szCs w:val="28"/>
        </w:rPr>
        <w:t xml:space="preserve">Объем </w:t>
      </w:r>
      <w:r w:rsidRPr="004E3451">
        <w:rPr>
          <w:rFonts w:ascii="Times New Roman" w:hAnsi="Times New Roman"/>
          <w:sz w:val="28"/>
          <w:szCs w:val="28"/>
        </w:rPr>
        <w:t xml:space="preserve">инвестиций в основной капитал за счет всех источников финансирования по «крупным и средним» предприятиям в 2023 году увеличится на 2,5% по сравнению с уровнем предыдущего года и составит 21894,7 млн рублей по второму варианту расчетов за счет реализации инвестиционных проектов по строительству </w:t>
      </w:r>
      <w:r w:rsidR="00B739BC">
        <w:rPr>
          <w:rFonts w:ascii="Times New Roman" w:hAnsi="Times New Roman"/>
          <w:sz w:val="28"/>
          <w:szCs w:val="28"/>
        </w:rPr>
        <w:t>3-го</w:t>
      </w:r>
      <w:r w:rsidRPr="004E3451">
        <w:rPr>
          <w:rFonts w:ascii="Times New Roman" w:hAnsi="Times New Roman"/>
          <w:sz w:val="28"/>
          <w:szCs w:val="28"/>
        </w:rPr>
        <w:t xml:space="preserve"> корпуса индустриального парка «PNK парк Пушкино 2»</w:t>
      </w:r>
      <w:r w:rsidR="00B739BC">
        <w:rPr>
          <w:rFonts w:ascii="Times New Roman" w:hAnsi="Times New Roman"/>
          <w:sz w:val="28"/>
          <w:szCs w:val="28"/>
        </w:rPr>
        <w:t>,</w:t>
      </w:r>
      <w:r w:rsidRPr="004E3451">
        <w:rPr>
          <w:rFonts w:ascii="Times New Roman" w:hAnsi="Times New Roman"/>
          <w:sz w:val="28"/>
          <w:szCs w:val="28"/>
        </w:rPr>
        <w:t xml:space="preserve"> фармацевтического складского комплекса (ТСТ – 4, ТСТ – 5) АО «ТСТ Транссервис»</w:t>
      </w:r>
      <w:r w:rsidR="00B739BC">
        <w:rPr>
          <w:rFonts w:ascii="Times New Roman" w:hAnsi="Times New Roman"/>
          <w:sz w:val="28"/>
          <w:szCs w:val="28"/>
        </w:rPr>
        <w:t>,</w:t>
      </w:r>
      <w:r w:rsidRPr="004E3451">
        <w:rPr>
          <w:rFonts w:ascii="Times New Roman" w:hAnsi="Times New Roman"/>
          <w:sz w:val="28"/>
          <w:szCs w:val="28"/>
        </w:rPr>
        <w:t xml:space="preserve"> 2-ой очереди индустриального парка «Холмогоры» (корпуса 4, 5)</w:t>
      </w:r>
      <w:r w:rsidR="00B739BC">
        <w:rPr>
          <w:rFonts w:ascii="Times New Roman" w:hAnsi="Times New Roman"/>
          <w:sz w:val="28"/>
          <w:szCs w:val="28"/>
        </w:rPr>
        <w:t>,</w:t>
      </w:r>
      <w:r w:rsidRPr="004E3451">
        <w:rPr>
          <w:rFonts w:ascii="Times New Roman" w:hAnsi="Times New Roman"/>
          <w:sz w:val="28"/>
          <w:szCs w:val="28"/>
        </w:rPr>
        <w:t xml:space="preserve"> </w:t>
      </w:r>
      <w:r w:rsidRPr="004E3451">
        <w:rPr>
          <w:rFonts w:ascii="Times New Roman" w:eastAsia="Calibri" w:hAnsi="Times New Roman" w:cs="Times New Roman"/>
          <w:sz w:val="28"/>
          <w:szCs w:val="28"/>
        </w:rPr>
        <w:t>складского здания с АБК (корпус 43) в составе складского комплекса АО «ЛК Молком»,</w:t>
      </w:r>
      <w:r w:rsidRPr="004E3451">
        <w:rPr>
          <w:rFonts w:ascii="Times New Roman" w:hAnsi="Times New Roman" w:cs="Times New Roman"/>
          <w:sz w:val="28"/>
          <w:szCs w:val="28"/>
        </w:rPr>
        <w:t xml:space="preserve"> а также за счет наполнения </w:t>
      </w:r>
      <w:r w:rsidRPr="004E3451">
        <w:rPr>
          <w:rFonts w:ascii="Times New Roman" w:eastAsia="Calibri" w:hAnsi="Times New Roman" w:cs="Times New Roman"/>
          <w:sz w:val="28"/>
          <w:szCs w:val="28"/>
        </w:rPr>
        <w:t xml:space="preserve">производственно-складских зданий индустриального парка «РИО-Индастриал» </w:t>
      </w:r>
      <w:r w:rsidRPr="004E3451">
        <w:rPr>
          <w:rFonts w:ascii="Times New Roman" w:hAnsi="Times New Roman" w:cs="Times New Roman"/>
          <w:sz w:val="28"/>
          <w:szCs w:val="28"/>
        </w:rPr>
        <w:t xml:space="preserve">новыми </w:t>
      </w:r>
      <w:r w:rsidRPr="004E3451">
        <w:rPr>
          <w:rFonts w:ascii="Times New Roman" w:eastAsia="Calibri" w:hAnsi="Times New Roman" w:cs="Times New Roman"/>
          <w:sz w:val="28"/>
          <w:szCs w:val="28"/>
        </w:rPr>
        <w:t>резидентами</w:t>
      </w:r>
      <w:r w:rsidRPr="004E3451">
        <w:rPr>
          <w:rFonts w:ascii="Times New Roman" w:hAnsi="Times New Roman" w:cs="Times New Roman"/>
          <w:sz w:val="28"/>
          <w:szCs w:val="28"/>
        </w:rPr>
        <w:t xml:space="preserve"> </w:t>
      </w:r>
      <w:r w:rsidRPr="004E3451">
        <w:rPr>
          <w:rFonts w:ascii="Times New Roman" w:eastAsia="Calibri" w:hAnsi="Times New Roman" w:cs="Times New Roman"/>
          <w:sz w:val="28"/>
          <w:szCs w:val="28"/>
        </w:rPr>
        <w:t>(ООО «ПКФ «Стальинвест», ООО «Стандарт-МЛ и др.).</w:t>
      </w:r>
    </w:p>
    <w:p w:rsidR="004E3451" w:rsidRPr="004E3451" w:rsidRDefault="004E3451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 xml:space="preserve">В ближайшей перспективе инвестиционная активность будет определяться в том числе завершением реализации проектов </w:t>
      </w:r>
      <w:r w:rsidR="004B0F3C">
        <w:rPr>
          <w:rFonts w:ascii="Times New Roman" w:hAnsi="Times New Roman"/>
          <w:sz w:val="28"/>
          <w:szCs w:val="28"/>
        </w:rPr>
        <w:t>ОАО</w:t>
      </w:r>
      <w:r w:rsidRPr="004E3451">
        <w:rPr>
          <w:rFonts w:ascii="Times New Roman" w:hAnsi="Times New Roman"/>
          <w:sz w:val="28"/>
          <w:szCs w:val="28"/>
        </w:rPr>
        <w:t xml:space="preserve"> </w:t>
      </w:r>
      <w:r w:rsidR="004B0F3C">
        <w:rPr>
          <w:rFonts w:ascii="Times New Roman" w:hAnsi="Times New Roman"/>
          <w:sz w:val="28"/>
          <w:szCs w:val="28"/>
        </w:rPr>
        <w:t>«</w:t>
      </w:r>
      <w:r w:rsidRPr="004E3451">
        <w:rPr>
          <w:rFonts w:ascii="Times New Roman" w:hAnsi="Times New Roman"/>
          <w:sz w:val="28"/>
          <w:szCs w:val="28"/>
        </w:rPr>
        <w:t>ФСК ЕЭС</w:t>
      </w:r>
      <w:r w:rsidR="004B0F3C">
        <w:rPr>
          <w:rFonts w:ascii="Times New Roman" w:hAnsi="Times New Roman"/>
          <w:sz w:val="28"/>
          <w:szCs w:val="28"/>
        </w:rPr>
        <w:t>»</w:t>
      </w:r>
      <w:r w:rsidRPr="004E3451">
        <w:rPr>
          <w:rFonts w:ascii="Times New Roman" w:hAnsi="Times New Roman"/>
          <w:sz w:val="28"/>
          <w:szCs w:val="28"/>
        </w:rPr>
        <w:t xml:space="preserve"> по комплексному техническому перевооружению и реконструкции подстанции «Трубино», ООО «Хухтамахи С.Н.Г.» и других.</w:t>
      </w:r>
    </w:p>
    <w:p w:rsidR="004E3451" w:rsidRPr="004E3451" w:rsidRDefault="008A2537" w:rsidP="004E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FAA">
        <w:rPr>
          <w:rFonts w:ascii="Times New Roman" w:hAnsi="Times New Roman"/>
          <w:sz w:val="28"/>
          <w:szCs w:val="28"/>
        </w:rPr>
        <w:t xml:space="preserve">В прогнозируемом периоде предполагается постепенное наращивание объемов инвестиций в основной капитал за счет всех источников финансирования по полному кругу до </w:t>
      </w:r>
      <w:r w:rsidR="0073131C">
        <w:rPr>
          <w:rFonts w:ascii="Times New Roman" w:hAnsi="Times New Roman"/>
          <w:sz w:val="28"/>
          <w:szCs w:val="28"/>
        </w:rPr>
        <w:t>42453,1</w:t>
      </w:r>
      <w:r w:rsidRPr="00435FAA">
        <w:rPr>
          <w:rFonts w:ascii="Times New Roman" w:hAnsi="Times New Roman"/>
          <w:sz w:val="28"/>
          <w:szCs w:val="28"/>
        </w:rPr>
        <w:t xml:space="preserve"> млн рублей к 203</w:t>
      </w:r>
      <w:r w:rsidR="00D53EDF">
        <w:rPr>
          <w:rFonts w:ascii="Times New Roman" w:hAnsi="Times New Roman"/>
          <w:sz w:val="28"/>
          <w:szCs w:val="28"/>
        </w:rPr>
        <w:t>0</w:t>
      </w:r>
      <w:r w:rsidRPr="00435FAA">
        <w:rPr>
          <w:rFonts w:ascii="Times New Roman" w:hAnsi="Times New Roman"/>
          <w:sz w:val="28"/>
          <w:szCs w:val="28"/>
        </w:rPr>
        <w:t xml:space="preserve"> году (с тенденцией прироста до </w:t>
      </w:r>
      <w:r w:rsidR="0073131C">
        <w:rPr>
          <w:rFonts w:ascii="Times New Roman" w:hAnsi="Times New Roman"/>
          <w:sz w:val="28"/>
          <w:szCs w:val="28"/>
        </w:rPr>
        <w:t>10</w:t>
      </w:r>
      <w:r w:rsidRPr="00435FAA">
        <w:rPr>
          <w:rFonts w:ascii="Times New Roman" w:hAnsi="Times New Roman"/>
          <w:sz w:val="28"/>
          <w:szCs w:val="28"/>
        </w:rPr>
        <w:t xml:space="preserve">% </w:t>
      </w:r>
      <w:r w:rsidR="0073131C" w:rsidRPr="00435FAA">
        <w:rPr>
          <w:rFonts w:ascii="Times New Roman" w:hAnsi="Times New Roman"/>
          <w:sz w:val="28"/>
          <w:szCs w:val="28"/>
        </w:rPr>
        <w:t>в действующих ценах</w:t>
      </w:r>
      <w:r w:rsidR="0073131C">
        <w:rPr>
          <w:rFonts w:ascii="Times New Roman" w:hAnsi="Times New Roman"/>
          <w:sz w:val="28"/>
          <w:szCs w:val="28"/>
        </w:rPr>
        <w:t xml:space="preserve"> в 2030 году</w:t>
      </w:r>
      <w:r w:rsidRPr="00435FAA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 w:rsidR="004E3451" w:rsidRPr="004E3451">
        <w:rPr>
          <w:rFonts w:ascii="Times New Roman" w:hAnsi="Times New Roman"/>
          <w:sz w:val="28"/>
          <w:szCs w:val="28"/>
        </w:rPr>
        <w:t xml:space="preserve">В прогнозируемом периоде предполагается постепенное наращивание объемов инвестиций по «крупным и средним» предприятиям до </w:t>
      </w:r>
      <w:r w:rsidR="00D53EDF">
        <w:rPr>
          <w:rFonts w:ascii="Times New Roman" w:hAnsi="Times New Roman"/>
          <w:sz w:val="28"/>
          <w:szCs w:val="28"/>
        </w:rPr>
        <w:t>3</w:t>
      </w:r>
      <w:r w:rsidR="0073131C">
        <w:rPr>
          <w:rFonts w:ascii="Times New Roman" w:hAnsi="Times New Roman"/>
          <w:sz w:val="28"/>
          <w:szCs w:val="28"/>
        </w:rPr>
        <w:t xml:space="preserve">5969,4 </w:t>
      </w:r>
      <w:r w:rsidR="004E3451" w:rsidRPr="004E3451">
        <w:rPr>
          <w:rFonts w:ascii="Times New Roman" w:hAnsi="Times New Roman"/>
          <w:sz w:val="28"/>
          <w:szCs w:val="28"/>
        </w:rPr>
        <w:t>млн рублей к 203</w:t>
      </w:r>
      <w:r w:rsidR="00D53EDF">
        <w:rPr>
          <w:rFonts w:ascii="Times New Roman" w:hAnsi="Times New Roman"/>
          <w:sz w:val="28"/>
          <w:szCs w:val="28"/>
        </w:rPr>
        <w:t>0</w:t>
      </w:r>
      <w:r w:rsidR="004E3451" w:rsidRPr="004E3451">
        <w:rPr>
          <w:rFonts w:ascii="Times New Roman" w:hAnsi="Times New Roman"/>
          <w:sz w:val="28"/>
          <w:szCs w:val="28"/>
        </w:rPr>
        <w:t xml:space="preserve"> году. Динамика роста инвестиций в основной капитал в действующих ценах прогнозируется положительной.</w:t>
      </w:r>
    </w:p>
    <w:p w:rsidR="004E3451" w:rsidRPr="00D604D4" w:rsidRDefault="004E3451" w:rsidP="004E345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451">
        <w:rPr>
          <w:rFonts w:ascii="Times New Roman" w:hAnsi="Times New Roman"/>
          <w:sz w:val="28"/>
          <w:szCs w:val="28"/>
        </w:rPr>
        <w:t>Структура источников инвестиций в основной капитал определяется</w:t>
      </w:r>
      <w:r w:rsidRPr="00794E2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60% </w:t>
      </w:r>
      <w:r w:rsidRPr="00794E22">
        <w:rPr>
          <w:rFonts w:ascii="Times New Roman" w:hAnsi="Times New Roman"/>
          <w:sz w:val="28"/>
          <w:szCs w:val="28"/>
        </w:rPr>
        <w:t>долей привлеченных средств</w:t>
      </w:r>
      <w:r w:rsidR="00B739BC">
        <w:rPr>
          <w:rFonts w:ascii="Times New Roman" w:hAnsi="Times New Roman"/>
          <w:sz w:val="28"/>
          <w:szCs w:val="28"/>
        </w:rPr>
        <w:t xml:space="preserve"> </w:t>
      </w:r>
      <w:r w:rsidR="00B739BC">
        <w:rPr>
          <w:rFonts w:ascii="Times New Roman" w:eastAsia="Calibri" w:hAnsi="Times New Roman" w:cs="Times New Roman"/>
          <w:sz w:val="28"/>
          <w:szCs w:val="28"/>
        </w:rPr>
        <w:t>(без субъектов малого и среднего предпринимательства и объема инвестиций, не наблюдаемых прямыми статистическими методами)</w:t>
      </w:r>
      <w:r w:rsidRPr="00794E22">
        <w:rPr>
          <w:rFonts w:ascii="Times New Roman" w:hAnsi="Times New Roman"/>
          <w:sz w:val="28"/>
          <w:szCs w:val="28"/>
        </w:rPr>
        <w:t xml:space="preserve"> и на </w:t>
      </w:r>
      <w:r>
        <w:rPr>
          <w:rFonts w:ascii="Times New Roman" w:hAnsi="Times New Roman"/>
          <w:sz w:val="28"/>
          <w:szCs w:val="28"/>
        </w:rPr>
        <w:t>40%</w:t>
      </w:r>
      <w:r w:rsidRPr="00794E22">
        <w:rPr>
          <w:rFonts w:ascii="Times New Roman" w:hAnsi="Times New Roman"/>
          <w:sz w:val="28"/>
          <w:szCs w:val="28"/>
        </w:rPr>
        <w:t xml:space="preserve"> долей </w:t>
      </w:r>
      <w:r>
        <w:rPr>
          <w:rFonts w:ascii="Times New Roman" w:hAnsi="Times New Roman"/>
          <w:sz w:val="28"/>
          <w:szCs w:val="28"/>
        </w:rPr>
        <w:t>собственных</w:t>
      </w:r>
      <w:r w:rsidRPr="00794E22">
        <w:rPr>
          <w:rFonts w:ascii="Times New Roman" w:hAnsi="Times New Roman"/>
          <w:sz w:val="28"/>
          <w:szCs w:val="28"/>
        </w:rPr>
        <w:t xml:space="preserve"> средств предприятий. В прогнозируемом периоде </w:t>
      </w:r>
      <w:r w:rsidRPr="00D604D4">
        <w:rPr>
          <w:rFonts w:ascii="Times New Roman" w:eastAsia="Calibri" w:hAnsi="Times New Roman" w:cs="Times New Roman"/>
          <w:sz w:val="28"/>
          <w:szCs w:val="28"/>
        </w:rPr>
        <w:t>структура инвестиций в основной капитал по источникам финансирования существенно не изменится.</w:t>
      </w:r>
    </w:p>
    <w:p w:rsidR="00FB1613" w:rsidRDefault="00FB1613" w:rsidP="00794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991" w:rsidRPr="007002B1" w:rsidRDefault="00AD7991" w:rsidP="00AD7991">
      <w:pPr>
        <w:pStyle w:val="a3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7002B1">
        <w:rPr>
          <w:rFonts w:ascii="Times New Roman" w:hAnsi="Times New Roman" w:cs="Times New Roman"/>
          <w:b/>
          <w:spacing w:val="-3"/>
          <w:sz w:val="28"/>
          <w:szCs w:val="28"/>
        </w:rPr>
        <w:t>Строительство</w:t>
      </w:r>
    </w:p>
    <w:p w:rsidR="001D7E97" w:rsidRPr="00C6583D" w:rsidRDefault="001D7E97" w:rsidP="001D7E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Повышение доступности жилья </w:t>
      </w:r>
      <w:r w:rsidRPr="00C6583D">
        <w:rPr>
          <w:rFonts w:ascii="Times New Roman" w:hAnsi="Times New Roman" w:cs="Times New Roman"/>
          <w:sz w:val="28"/>
          <w:szCs w:val="28"/>
        </w:rPr>
        <w:t xml:space="preserve">для населения и обеспечение комфортных условий проживания жителей региона является одним из приоритетных </w:t>
      </w:r>
      <w:r>
        <w:rPr>
          <w:rFonts w:ascii="Times New Roman" w:hAnsi="Times New Roman" w:cs="Times New Roman"/>
          <w:sz w:val="28"/>
          <w:szCs w:val="28"/>
        </w:rPr>
        <w:t>направлений социально-экономического  развития Городского округа</w:t>
      </w:r>
      <w:r w:rsidRPr="00C6583D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1D7E97" w:rsidRDefault="001D7E97" w:rsidP="001D7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2D0">
        <w:rPr>
          <w:rFonts w:ascii="Times New Roman" w:hAnsi="Times New Roman" w:cs="Times New Roman"/>
          <w:sz w:val="28"/>
          <w:szCs w:val="28"/>
        </w:rPr>
        <w:t>По оценке,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F02D0">
        <w:rPr>
          <w:rFonts w:ascii="Times New Roman" w:hAnsi="Times New Roman" w:cs="Times New Roman"/>
          <w:sz w:val="28"/>
          <w:szCs w:val="28"/>
        </w:rPr>
        <w:t xml:space="preserve"> году объем работ и услуг вы</w:t>
      </w:r>
      <w:r>
        <w:rPr>
          <w:rFonts w:ascii="Times New Roman" w:hAnsi="Times New Roman" w:cs="Times New Roman"/>
          <w:sz w:val="28"/>
          <w:szCs w:val="28"/>
        </w:rPr>
        <w:t>полненных по виду экономической деятельности «Строительство» составит 12418,8 млн</w:t>
      </w:r>
      <w:r w:rsidRPr="00AF02D0">
        <w:rPr>
          <w:rFonts w:ascii="Times New Roman" w:hAnsi="Times New Roman" w:cs="Times New Roman"/>
          <w:sz w:val="28"/>
          <w:szCs w:val="28"/>
        </w:rPr>
        <w:t xml:space="preserve"> рублей или </w:t>
      </w:r>
      <w:r>
        <w:rPr>
          <w:rFonts w:ascii="Times New Roman" w:hAnsi="Times New Roman" w:cs="Times New Roman"/>
          <w:sz w:val="28"/>
          <w:szCs w:val="28"/>
        </w:rPr>
        <w:t>103,5</w:t>
      </w:r>
      <w:r w:rsidR="00FF5FDB">
        <w:rPr>
          <w:rFonts w:ascii="Times New Roman" w:hAnsi="Times New Roman" w:cs="Times New Roman"/>
          <w:sz w:val="28"/>
          <w:szCs w:val="28"/>
        </w:rPr>
        <w:t xml:space="preserve">% </w:t>
      </w:r>
      <w:r w:rsidRPr="00AF02D0">
        <w:rPr>
          <w:rFonts w:ascii="Times New Roman" w:hAnsi="Times New Roman" w:cs="Times New Roman"/>
          <w:sz w:val="28"/>
          <w:szCs w:val="28"/>
        </w:rPr>
        <w:t xml:space="preserve"> по индексу физического объема к уровню предыдущего года.</w:t>
      </w:r>
    </w:p>
    <w:p w:rsidR="001D7E97" w:rsidRDefault="001D7E97" w:rsidP="001D7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2D0">
        <w:rPr>
          <w:rFonts w:ascii="Times New Roman" w:hAnsi="Times New Roman" w:cs="Times New Roman"/>
          <w:sz w:val="28"/>
          <w:szCs w:val="28"/>
        </w:rPr>
        <w:t xml:space="preserve">Продолжается </w:t>
      </w:r>
      <w:r>
        <w:rPr>
          <w:rFonts w:ascii="Times New Roman" w:hAnsi="Times New Roman" w:cs="Times New Roman"/>
          <w:sz w:val="28"/>
          <w:szCs w:val="28"/>
        </w:rPr>
        <w:t xml:space="preserve">масштабное </w:t>
      </w:r>
      <w:r w:rsidRPr="00AF02D0">
        <w:rPr>
          <w:rFonts w:ascii="Times New Roman" w:hAnsi="Times New Roman" w:cs="Times New Roman"/>
          <w:sz w:val="28"/>
          <w:szCs w:val="28"/>
        </w:rPr>
        <w:t xml:space="preserve">строительство жилых домов </w:t>
      </w:r>
      <w:r>
        <w:rPr>
          <w:rFonts w:ascii="Times New Roman" w:hAnsi="Times New Roman" w:cs="Times New Roman"/>
          <w:sz w:val="28"/>
          <w:szCs w:val="28"/>
        </w:rPr>
        <w:t>следующими застройщиками</w:t>
      </w:r>
      <w:r w:rsidRPr="00AF0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F02D0">
        <w:rPr>
          <w:rFonts w:ascii="Times New Roman" w:hAnsi="Times New Roman" w:cs="Times New Roman"/>
          <w:sz w:val="28"/>
          <w:szCs w:val="28"/>
        </w:rPr>
        <w:t>ООО «Флагман»</w:t>
      </w:r>
      <w:r>
        <w:rPr>
          <w:rFonts w:ascii="Times New Roman" w:hAnsi="Times New Roman" w:cs="Times New Roman"/>
          <w:sz w:val="28"/>
          <w:szCs w:val="28"/>
        </w:rPr>
        <w:t>, ООО «Жилолй квартал 2», ООО «Профи-Инвест», ООО «Апсис-Строй», ООО «Казачий дом», ООО «В. Девелопмент»).</w:t>
      </w:r>
    </w:p>
    <w:p w:rsidR="001D7E97" w:rsidRPr="0071687A" w:rsidRDefault="001D7E97" w:rsidP="001D7E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687A">
        <w:rPr>
          <w:rFonts w:ascii="Times New Roman" w:hAnsi="Times New Roman" w:cs="Times New Roman"/>
          <w:sz w:val="28"/>
          <w:szCs w:val="28"/>
        </w:rPr>
        <w:t xml:space="preserve">В </w:t>
      </w:r>
      <w:r w:rsidR="0047669A">
        <w:rPr>
          <w:rFonts w:ascii="Times New Roman" w:hAnsi="Times New Roman" w:cs="Times New Roman"/>
          <w:sz w:val="28"/>
          <w:szCs w:val="28"/>
        </w:rPr>
        <w:t>текущем</w:t>
      </w:r>
      <w:r w:rsidRPr="0071687A">
        <w:rPr>
          <w:rFonts w:ascii="Times New Roman" w:hAnsi="Times New Roman" w:cs="Times New Roman"/>
          <w:sz w:val="28"/>
          <w:szCs w:val="28"/>
        </w:rPr>
        <w:t xml:space="preserve"> и прогнозируемом периоде, строительство жилья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71687A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47669A">
        <w:rPr>
          <w:rFonts w:ascii="Times New Roman" w:hAnsi="Times New Roman" w:cs="Times New Roman"/>
          <w:sz w:val="28"/>
          <w:szCs w:val="28"/>
        </w:rPr>
        <w:t xml:space="preserve">яется направлениями </w:t>
      </w:r>
      <w:r w:rsidRPr="0071687A">
        <w:rPr>
          <w:rFonts w:ascii="Times New Roman" w:hAnsi="Times New Roman" w:cs="Times New Roman"/>
          <w:sz w:val="28"/>
          <w:szCs w:val="28"/>
        </w:rPr>
        <w:t>Указ</w:t>
      </w:r>
      <w:r w:rsidR="0047669A">
        <w:rPr>
          <w:rFonts w:ascii="Times New Roman" w:hAnsi="Times New Roman" w:cs="Times New Roman"/>
          <w:sz w:val="28"/>
          <w:szCs w:val="28"/>
        </w:rPr>
        <w:t>а Президента</w:t>
      </w:r>
      <w:r w:rsidRPr="0071687A">
        <w:rPr>
          <w:rFonts w:ascii="Times New Roman" w:hAnsi="Times New Roman" w:cs="Times New Roman"/>
          <w:sz w:val="28"/>
          <w:szCs w:val="28"/>
        </w:rPr>
        <w:t xml:space="preserve"> </w:t>
      </w:r>
      <w:r w:rsidR="0047669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71687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87A">
        <w:rPr>
          <w:rFonts w:ascii="Times New Roman" w:hAnsi="Times New Roman" w:cs="Times New Roman"/>
          <w:sz w:val="28"/>
          <w:szCs w:val="28"/>
        </w:rPr>
        <w:t>474</w:t>
      </w:r>
      <w:r w:rsidR="0047669A">
        <w:rPr>
          <w:rFonts w:ascii="Times New Roman" w:hAnsi="Times New Roman" w:cs="Times New Roman"/>
          <w:sz w:val="28"/>
          <w:szCs w:val="28"/>
        </w:rPr>
        <w:t xml:space="preserve"> </w:t>
      </w:r>
      <w:r w:rsidR="0047669A" w:rsidRPr="0047669A">
        <w:rPr>
          <w:rFonts w:ascii="Times New Roman" w:hAnsi="Times New Roman" w:cs="Times New Roman"/>
          <w:sz w:val="28"/>
          <w:szCs w:val="28"/>
        </w:rPr>
        <w:t xml:space="preserve">«О национальных целях развития Российской Федерации на период до </w:t>
      </w:r>
      <w:r w:rsidR="0047669A" w:rsidRPr="0047669A">
        <w:rPr>
          <w:rFonts w:ascii="Times New Roman" w:hAnsi="Times New Roman" w:cs="Times New Roman"/>
          <w:sz w:val="28"/>
          <w:szCs w:val="28"/>
        </w:rPr>
        <w:lastRenderedPageBreak/>
        <w:t>2030 года»</w:t>
      </w:r>
      <w:r w:rsidR="0047669A">
        <w:rPr>
          <w:rFonts w:ascii="Times New Roman" w:hAnsi="Times New Roman" w:cs="Times New Roman"/>
          <w:sz w:val="28"/>
          <w:szCs w:val="28"/>
        </w:rPr>
        <w:t>,</w:t>
      </w:r>
      <w:r w:rsidRPr="0071687A">
        <w:rPr>
          <w:rFonts w:ascii="Times New Roman" w:hAnsi="Times New Roman" w:cs="Times New Roman"/>
          <w:sz w:val="28"/>
          <w:szCs w:val="28"/>
        </w:rPr>
        <w:t xml:space="preserve"> национального проекта «Жилье и городская среда» и федерального проекта «Жилье».</w:t>
      </w:r>
    </w:p>
    <w:p w:rsidR="001D7E97" w:rsidRPr="00C876B1" w:rsidRDefault="001D7E97" w:rsidP="001D7E97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AE23C2">
        <w:rPr>
          <w:rFonts w:ascii="Times New Roman" w:hAnsi="Times New Roman" w:cs="Times New Roman"/>
          <w:sz w:val="28"/>
          <w:szCs w:val="28"/>
        </w:rPr>
        <w:t xml:space="preserve"> </w:t>
      </w:r>
      <w:r w:rsidRPr="00C876B1">
        <w:rPr>
          <w:rFonts w:ascii="Times New Roman" w:hAnsi="Times New Roman"/>
          <w:spacing w:val="-3"/>
          <w:sz w:val="28"/>
          <w:szCs w:val="28"/>
        </w:rPr>
        <w:t>В долгосрочной перспективе строительство зданий и других сооружений будет обусловлено спросом на них в зависимости от общей социально-экономической ситуации, обеспечивающей их инвестиционную привлекательность.</w:t>
      </w:r>
    </w:p>
    <w:p w:rsidR="001D7E97" w:rsidRPr="00C876B1" w:rsidRDefault="001D7E97" w:rsidP="001D7E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C876B1">
        <w:rPr>
          <w:rFonts w:ascii="Times New Roman" w:hAnsi="Times New Roman"/>
          <w:spacing w:val="-3"/>
          <w:sz w:val="28"/>
          <w:szCs w:val="28"/>
        </w:rPr>
        <w:t xml:space="preserve">Ожидается, что в </w:t>
      </w:r>
      <w:r>
        <w:rPr>
          <w:rFonts w:ascii="Times New Roman" w:hAnsi="Times New Roman"/>
          <w:spacing w:val="-3"/>
          <w:sz w:val="28"/>
          <w:szCs w:val="28"/>
        </w:rPr>
        <w:t>прогнозируемом периоде</w:t>
      </w:r>
      <w:r w:rsidRPr="00C876B1">
        <w:rPr>
          <w:rFonts w:ascii="Times New Roman" w:hAnsi="Times New Roman"/>
          <w:spacing w:val="-3"/>
          <w:sz w:val="28"/>
          <w:szCs w:val="28"/>
        </w:rPr>
        <w:t xml:space="preserve"> уровень показателя «Объем работ и услуг, выполненных собственными силами организаций по виду деятельности «Строительство» будет иметь тенденцию небольшого роста </w:t>
      </w:r>
      <w:r w:rsidRPr="00C876B1">
        <w:rPr>
          <w:rFonts w:ascii="Times New Roman" w:hAnsi="Times New Roman"/>
          <w:spacing w:val="-3"/>
          <w:sz w:val="28"/>
          <w:szCs w:val="28"/>
        </w:rPr>
        <w:br/>
        <w:t>и к 203</w:t>
      </w:r>
      <w:r>
        <w:rPr>
          <w:rFonts w:ascii="Times New Roman" w:hAnsi="Times New Roman"/>
          <w:spacing w:val="-3"/>
          <w:sz w:val="28"/>
          <w:szCs w:val="28"/>
        </w:rPr>
        <w:t xml:space="preserve">0 году составит 18300,3 </w:t>
      </w:r>
      <w:r w:rsidRPr="00C876B1">
        <w:rPr>
          <w:rFonts w:ascii="Times New Roman" w:hAnsi="Times New Roman"/>
          <w:spacing w:val="-3"/>
          <w:sz w:val="28"/>
          <w:szCs w:val="28"/>
        </w:rPr>
        <w:t>млн рублей</w:t>
      </w:r>
      <w:r w:rsidR="00855F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876B1">
        <w:rPr>
          <w:rFonts w:ascii="Times New Roman" w:hAnsi="Times New Roman"/>
          <w:spacing w:val="-3"/>
          <w:sz w:val="28"/>
          <w:szCs w:val="28"/>
        </w:rPr>
        <w:t xml:space="preserve">с тенденцией </w:t>
      </w:r>
      <w:r w:rsidR="0047669A">
        <w:rPr>
          <w:rFonts w:ascii="Times New Roman" w:hAnsi="Times New Roman"/>
          <w:spacing w:val="-3"/>
          <w:sz w:val="28"/>
          <w:szCs w:val="28"/>
        </w:rPr>
        <w:t xml:space="preserve">ежегодного </w:t>
      </w:r>
      <w:r w:rsidRPr="00C876B1">
        <w:rPr>
          <w:rFonts w:ascii="Times New Roman" w:hAnsi="Times New Roman"/>
          <w:spacing w:val="-3"/>
          <w:sz w:val="28"/>
          <w:szCs w:val="28"/>
        </w:rPr>
        <w:t xml:space="preserve">роста </w:t>
      </w:r>
      <w:r w:rsidRPr="00C876B1">
        <w:rPr>
          <w:rFonts w:ascii="Times New Roman" w:hAnsi="Times New Roman"/>
          <w:spacing w:val="-3"/>
          <w:sz w:val="28"/>
          <w:szCs w:val="28"/>
        </w:rPr>
        <w:br/>
      </w:r>
      <w:r>
        <w:rPr>
          <w:rFonts w:ascii="Times New Roman" w:hAnsi="Times New Roman"/>
          <w:spacing w:val="-3"/>
          <w:sz w:val="28"/>
          <w:szCs w:val="28"/>
        </w:rPr>
        <w:t>до 4</w:t>
      </w:r>
      <w:r w:rsidRPr="00C876B1">
        <w:rPr>
          <w:rFonts w:ascii="Times New Roman" w:hAnsi="Times New Roman"/>
          <w:spacing w:val="-3"/>
          <w:sz w:val="28"/>
          <w:szCs w:val="28"/>
        </w:rPr>
        <w:t>,</w:t>
      </w:r>
      <w:r w:rsidR="00410418">
        <w:rPr>
          <w:rFonts w:ascii="Times New Roman" w:hAnsi="Times New Roman"/>
          <w:spacing w:val="-3"/>
          <w:sz w:val="28"/>
          <w:szCs w:val="28"/>
        </w:rPr>
        <w:t>9</w:t>
      </w:r>
      <w:r w:rsidR="00FF5FDB">
        <w:rPr>
          <w:rFonts w:ascii="Times New Roman" w:hAnsi="Times New Roman"/>
          <w:spacing w:val="-3"/>
          <w:sz w:val="28"/>
          <w:szCs w:val="28"/>
        </w:rPr>
        <w:t>%</w:t>
      </w:r>
      <w:r w:rsidR="00880509">
        <w:rPr>
          <w:rFonts w:ascii="Times New Roman" w:hAnsi="Times New Roman"/>
          <w:spacing w:val="-3"/>
          <w:sz w:val="28"/>
          <w:szCs w:val="28"/>
        </w:rPr>
        <w:t xml:space="preserve"> в действующих ценах</w:t>
      </w:r>
      <w:r w:rsidRPr="00C876B1">
        <w:rPr>
          <w:rFonts w:ascii="Times New Roman" w:hAnsi="Times New Roman"/>
          <w:spacing w:val="-3"/>
          <w:sz w:val="28"/>
          <w:szCs w:val="28"/>
        </w:rPr>
        <w:t>.</w:t>
      </w:r>
    </w:p>
    <w:p w:rsidR="00546D18" w:rsidRPr="00546D18" w:rsidRDefault="00546D18" w:rsidP="00546D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546D18">
        <w:rPr>
          <w:rFonts w:ascii="Times New Roman" w:hAnsi="Times New Roman"/>
          <w:spacing w:val="-3"/>
          <w:sz w:val="28"/>
          <w:szCs w:val="28"/>
        </w:rPr>
        <w:t>Общий объем жилищного ст</w:t>
      </w:r>
      <w:r>
        <w:rPr>
          <w:rFonts w:ascii="Times New Roman" w:hAnsi="Times New Roman"/>
          <w:spacing w:val="-3"/>
          <w:sz w:val="28"/>
          <w:szCs w:val="28"/>
        </w:rPr>
        <w:t xml:space="preserve">роительства в Городском округе </w:t>
      </w:r>
      <w:r w:rsidRPr="00546D18">
        <w:rPr>
          <w:rFonts w:ascii="Times New Roman" w:hAnsi="Times New Roman"/>
          <w:spacing w:val="-3"/>
          <w:sz w:val="28"/>
          <w:szCs w:val="28"/>
        </w:rPr>
        <w:t>в прогнозируемом</w:t>
      </w:r>
      <w:r w:rsidR="00721847">
        <w:rPr>
          <w:rFonts w:ascii="Times New Roman" w:hAnsi="Times New Roman"/>
          <w:spacing w:val="-3"/>
          <w:sz w:val="28"/>
          <w:szCs w:val="28"/>
        </w:rPr>
        <w:t xml:space="preserve"> периоде будет составлять от 366,8</w:t>
      </w:r>
      <w:r w:rsidRPr="00546D18">
        <w:rPr>
          <w:rFonts w:ascii="Times New Roman" w:hAnsi="Times New Roman"/>
          <w:spacing w:val="-3"/>
          <w:sz w:val="28"/>
          <w:szCs w:val="28"/>
        </w:rPr>
        <w:t xml:space="preserve"> до 474,8 тыс. кв.м общей площади</w:t>
      </w:r>
      <w:r>
        <w:rPr>
          <w:rFonts w:ascii="Times New Roman" w:hAnsi="Times New Roman"/>
          <w:spacing w:val="-3"/>
          <w:sz w:val="28"/>
          <w:szCs w:val="28"/>
        </w:rPr>
        <w:t xml:space="preserve"> по второму варианту расчетов</w:t>
      </w:r>
      <w:r w:rsidRPr="00546D18">
        <w:rPr>
          <w:rFonts w:ascii="Times New Roman" w:hAnsi="Times New Roman"/>
          <w:spacing w:val="-3"/>
          <w:sz w:val="28"/>
          <w:szCs w:val="28"/>
        </w:rPr>
        <w:t>; по оценке в 2022 году составит 452,6 тыс. кв.м или в 2 раза больше, чем в предыдущем периоде.</w:t>
      </w:r>
      <w:r w:rsidRPr="00546D1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46D18">
        <w:rPr>
          <w:rFonts w:ascii="Times New Roman" w:hAnsi="Times New Roman"/>
          <w:spacing w:val="-3"/>
          <w:sz w:val="28"/>
          <w:szCs w:val="28"/>
        </w:rPr>
        <w:t>Благоприятные условия созданы продлением в Российской Федерации зако</w:t>
      </w:r>
      <w:r>
        <w:rPr>
          <w:rFonts w:ascii="Times New Roman" w:hAnsi="Times New Roman"/>
          <w:spacing w:val="-3"/>
          <w:sz w:val="28"/>
          <w:szCs w:val="28"/>
        </w:rPr>
        <w:t xml:space="preserve">нодательных актов, позволяющих </w:t>
      </w:r>
      <w:r w:rsidRPr="00546D18">
        <w:rPr>
          <w:rFonts w:ascii="Times New Roman" w:hAnsi="Times New Roman"/>
          <w:spacing w:val="-3"/>
          <w:sz w:val="28"/>
          <w:szCs w:val="28"/>
        </w:rPr>
        <w:t>в упрощенном порядке зарегистрировать жилые и садовые дома.</w:t>
      </w:r>
    </w:p>
    <w:p w:rsidR="00546D18" w:rsidRPr="00546D18" w:rsidRDefault="00546D18" w:rsidP="00546D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546D18">
        <w:rPr>
          <w:rFonts w:ascii="Times New Roman" w:hAnsi="Times New Roman"/>
          <w:spacing w:val="-3"/>
          <w:sz w:val="28"/>
          <w:szCs w:val="28"/>
        </w:rPr>
        <w:t xml:space="preserve"> Введение в Российской Федерации программы государственной поддержки по льготному ипотечному кредитованию являлось серьезной поддержкой строительной отрасли в 2022 году.</w:t>
      </w:r>
    </w:p>
    <w:p w:rsidR="00546D18" w:rsidRPr="00546D18" w:rsidRDefault="00546D18" w:rsidP="00546D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546D18">
        <w:rPr>
          <w:rFonts w:ascii="Times New Roman" w:hAnsi="Times New Roman"/>
          <w:spacing w:val="-3"/>
          <w:sz w:val="28"/>
          <w:szCs w:val="28"/>
        </w:rPr>
        <w:t xml:space="preserve">В 2022 году </w:t>
      </w:r>
      <w:r w:rsidR="00721847">
        <w:rPr>
          <w:rFonts w:ascii="Times New Roman" w:hAnsi="Times New Roman"/>
          <w:spacing w:val="-3"/>
          <w:sz w:val="28"/>
          <w:szCs w:val="28"/>
        </w:rPr>
        <w:t>и прогнозируемом периоде до 2030</w:t>
      </w:r>
      <w:r w:rsidRPr="00546D18">
        <w:rPr>
          <w:rFonts w:ascii="Times New Roman" w:hAnsi="Times New Roman"/>
          <w:spacing w:val="-3"/>
          <w:sz w:val="28"/>
          <w:szCs w:val="28"/>
        </w:rPr>
        <w:t xml:space="preserve"> года, строительство жилья в Городском округе осуществляется исходя из национальных целей, определенных Указом № 474 и значений показателей по вводу жилья, установленных для Московской области в рамках реализации национального проекта «Жилье и городская среда» и федерального проекта «Жилье».</w:t>
      </w:r>
    </w:p>
    <w:p w:rsidR="001D7E97" w:rsidRPr="00C876B1" w:rsidRDefault="001D7E97" w:rsidP="00546D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C876B1">
        <w:rPr>
          <w:rFonts w:ascii="Times New Roman" w:hAnsi="Times New Roman"/>
          <w:spacing w:val="-3"/>
          <w:sz w:val="28"/>
          <w:szCs w:val="28"/>
        </w:rPr>
        <w:t xml:space="preserve">В настоящее время каждый новый проект жилищного строительства </w:t>
      </w:r>
      <w:r w:rsidRPr="00C876B1">
        <w:rPr>
          <w:rFonts w:ascii="Times New Roman" w:hAnsi="Times New Roman"/>
          <w:spacing w:val="-3"/>
          <w:sz w:val="28"/>
          <w:szCs w:val="28"/>
        </w:rPr>
        <w:br/>
        <w:t xml:space="preserve">в Московской области проходит проверку на соответствие требованиям региональных нормативов градостроительного проектирования, в том числе </w:t>
      </w:r>
      <w:r w:rsidRPr="00C876B1">
        <w:rPr>
          <w:rFonts w:ascii="Times New Roman" w:hAnsi="Times New Roman"/>
          <w:spacing w:val="-3"/>
          <w:sz w:val="28"/>
          <w:szCs w:val="28"/>
        </w:rPr>
        <w:br/>
        <w:t>по обеспеченности объектами инфраструктуры.</w:t>
      </w:r>
      <w:r>
        <w:rPr>
          <w:rFonts w:ascii="Times New Roman" w:hAnsi="Times New Roman"/>
          <w:spacing w:val="-3"/>
          <w:sz w:val="28"/>
          <w:szCs w:val="28"/>
        </w:rPr>
        <w:t xml:space="preserve"> Принимая во внимание растущие потребности Городского округа в прогнозируемом долгосрочном периоде ожидается строительство и реконструкция инфраструктурных объектов.</w:t>
      </w:r>
    </w:p>
    <w:p w:rsidR="001D7E97" w:rsidRPr="00F001B9" w:rsidRDefault="001D7E97" w:rsidP="001D7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1B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F001B9">
        <w:rPr>
          <w:rFonts w:ascii="Times New Roman" w:hAnsi="Times New Roman" w:cs="Times New Roman"/>
          <w:sz w:val="28"/>
          <w:szCs w:val="28"/>
        </w:rPr>
        <w:t xml:space="preserve"> строительство жилых помещений осуществляется </w:t>
      </w:r>
      <w:r w:rsidRPr="00F001B9">
        <w:rPr>
          <w:rFonts w:ascii="Times New Roman" w:hAnsi="Times New Roman" w:cs="Times New Roman"/>
          <w:sz w:val="28"/>
          <w:szCs w:val="28"/>
        </w:rPr>
        <w:br/>
        <w:t>с обязательным условием ком</w:t>
      </w:r>
      <w:r>
        <w:rPr>
          <w:rFonts w:ascii="Times New Roman" w:hAnsi="Times New Roman" w:cs="Times New Roman"/>
          <w:sz w:val="28"/>
          <w:szCs w:val="28"/>
        </w:rPr>
        <w:t>плексного развития территории. П</w:t>
      </w:r>
      <w:r w:rsidRPr="00F001B9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001B9">
        <w:rPr>
          <w:rFonts w:ascii="Times New Roman" w:hAnsi="Times New Roman" w:cs="Times New Roman"/>
          <w:sz w:val="28"/>
          <w:szCs w:val="28"/>
        </w:rPr>
        <w:t xml:space="preserve"> Правительства Московской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1B9">
        <w:rPr>
          <w:rFonts w:ascii="Times New Roman" w:hAnsi="Times New Roman" w:cs="Times New Roman"/>
          <w:sz w:val="28"/>
          <w:szCs w:val="28"/>
        </w:rPr>
        <w:t>области от 26.11.2021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1B9">
        <w:rPr>
          <w:rFonts w:ascii="Times New Roman" w:hAnsi="Times New Roman" w:cs="Times New Roman"/>
          <w:sz w:val="28"/>
          <w:szCs w:val="28"/>
        </w:rPr>
        <w:t>29/3 «О порядке комплексного развития территорий в Московской области» предусматрива</w:t>
      </w:r>
      <w:r>
        <w:rPr>
          <w:rFonts w:ascii="Times New Roman" w:hAnsi="Times New Roman" w:cs="Times New Roman"/>
          <w:sz w:val="28"/>
          <w:szCs w:val="28"/>
        </w:rPr>
        <w:t>ется с</w:t>
      </w:r>
      <w:r w:rsidRPr="00F001B9">
        <w:rPr>
          <w:rFonts w:ascii="Times New Roman" w:hAnsi="Times New Roman" w:cs="Times New Roman"/>
          <w:sz w:val="28"/>
          <w:szCs w:val="28"/>
        </w:rPr>
        <w:t>нос старых строений и переселение из них жителей в новые дома, строительство которых осуществляется с соблюдением единого стандарта жилищного строительства.</w:t>
      </w:r>
    </w:p>
    <w:p w:rsidR="001D7E97" w:rsidRDefault="001D7E97" w:rsidP="001D7E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01B9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Московской области от 29.12.2021 </w:t>
      </w:r>
      <w:r>
        <w:rPr>
          <w:rFonts w:ascii="Times New Roman" w:hAnsi="Times New Roman" w:cs="Times New Roman"/>
          <w:sz w:val="28"/>
          <w:szCs w:val="28"/>
        </w:rPr>
        <w:br/>
      </w:r>
      <w:r w:rsidRPr="00F001B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1B9">
        <w:rPr>
          <w:rFonts w:ascii="Times New Roman" w:hAnsi="Times New Roman" w:cs="Times New Roman"/>
          <w:sz w:val="28"/>
          <w:szCs w:val="28"/>
        </w:rPr>
        <w:t xml:space="preserve">1480/45 «О внесении изменений в нормативы градостроительного проектирования Московской области» введено понятие «кластер индивидуального жилищного строительства». Новый стандарт </w:t>
      </w:r>
      <w:r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 с кластерным подходом</w:t>
      </w:r>
      <w:r w:rsidRPr="00F001B9">
        <w:rPr>
          <w:rFonts w:ascii="Times New Roman" w:hAnsi="Times New Roman" w:cs="Times New Roman"/>
          <w:sz w:val="28"/>
          <w:szCs w:val="28"/>
        </w:rPr>
        <w:t xml:space="preserve"> направлен на увеличение объемов строительства индивидуальных жилых домов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F001B9">
        <w:rPr>
          <w:rFonts w:ascii="Times New Roman" w:hAnsi="Times New Roman" w:cs="Times New Roman"/>
          <w:sz w:val="28"/>
          <w:szCs w:val="28"/>
        </w:rPr>
        <w:lastRenderedPageBreak/>
        <w:t xml:space="preserve">и повышения на них спроса </w:t>
      </w:r>
      <w:r w:rsidRPr="00F001B9">
        <w:rPr>
          <w:rFonts w:ascii="Times New Roman" w:hAnsi="Times New Roman" w:cs="Times New Roman"/>
          <w:bCs/>
          <w:sz w:val="28"/>
          <w:szCs w:val="28"/>
        </w:rPr>
        <w:t xml:space="preserve">путем создания комфортной и безопасной среды проживания, обеспеченной объектами социальной, транспортной,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коммунальной и инженерной инфраструктуры, рабочими местами </w:t>
      </w:r>
      <w:r>
        <w:rPr>
          <w:rFonts w:ascii="Times New Roman" w:hAnsi="Times New Roman" w:cs="Times New Roman"/>
          <w:bCs/>
          <w:sz w:val="28"/>
          <w:szCs w:val="28"/>
        </w:rPr>
        <w:br/>
        <w:t>и благоприятными общественными территориями.</w:t>
      </w:r>
    </w:p>
    <w:p w:rsidR="001D7E97" w:rsidRPr="00546D18" w:rsidRDefault="00880509" w:rsidP="00546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B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F001B9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F001B9">
        <w:rPr>
          <w:rFonts w:ascii="Times New Roman" w:eastAsia="Calibri" w:hAnsi="Times New Roman" w:cs="Times New Roman"/>
          <w:sz w:val="28"/>
          <w:szCs w:val="28"/>
        </w:rPr>
        <w:t xml:space="preserve"> полугодии 2022 года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Городской округ вошел </w:t>
      </w:r>
      <w:r w:rsidRPr="00F001B9">
        <w:rPr>
          <w:rFonts w:ascii="Times New Roman" w:eastAsia="Calibri" w:hAnsi="Times New Roman" w:cs="Times New Roman"/>
          <w:sz w:val="28"/>
          <w:szCs w:val="28"/>
        </w:rPr>
        <w:t>в пилотный проект развития территорий индивидуального жилищного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области. Началась работа  по поиску свободных участков, чтобы в дальнейшем сформировать из них «кластер индивидуального жилищного строительства».</w:t>
      </w:r>
    </w:p>
    <w:p w:rsidR="007002B1" w:rsidRPr="00A91B25" w:rsidRDefault="007002B1" w:rsidP="001D7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E97" w:rsidRPr="00F270A9" w:rsidRDefault="00FB1250" w:rsidP="00CD5CAE">
      <w:pPr>
        <w:spacing w:after="0" w:line="240" w:lineRule="auto"/>
        <w:ind w:left="7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B1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1D7E97" w:rsidRPr="007002B1">
        <w:rPr>
          <w:rFonts w:ascii="Times New Roman" w:hAnsi="Times New Roman" w:cs="Times New Roman"/>
          <w:b/>
          <w:sz w:val="28"/>
          <w:szCs w:val="28"/>
        </w:rPr>
        <w:t>Труд и заработная плата</w:t>
      </w:r>
    </w:p>
    <w:p w:rsidR="001D7E97" w:rsidRPr="00774A6B" w:rsidRDefault="001D7E97" w:rsidP="001D7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4A6B">
        <w:rPr>
          <w:rFonts w:ascii="Times New Roman" w:hAnsi="Times New Roman" w:cs="Times New Roman"/>
          <w:sz w:val="28"/>
          <w:szCs w:val="28"/>
        </w:rPr>
        <w:t>На труд и занятость населения влияют демографические факторы, а также маятниковая миграция из Городского округа в Москву и другие города Московской области.</w:t>
      </w:r>
    </w:p>
    <w:p w:rsidR="001D7E97" w:rsidRPr="00774A6B" w:rsidRDefault="001D7E97" w:rsidP="001D7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4A6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прогнозируемом периоде</w:t>
      </w:r>
      <w:r w:rsidRPr="00774A6B">
        <w:rPr>
          <w:rFonts w:ascii="Times New Roman" w:hAnsi="Times New Roman" w:cs="Times New Roman"/>
          <w:sz w:val="28"/>
          <w:szCs w:val="28"/>
        </w:rPr>
        <w:t xml:space="preserve"> рынок труда будет в значительной степени определяться устойчивым ростом численности населения Городского округа, </w:t>
      </w:r>
      <w:r>
        <w:rPr>
          <w:rFonts w:ascii="Times New Roman" w:hAnsi="Times New Roman" w:cs="Times New Roman"/>
          <w:sz w:val="28"/>
          <w:szCs w:val="28"/>
        </w:rPr>
        <w:br/>
      </w:r>
      <w:r w:rsidRPr="00774A6B">
        <w:rPr>
          <w:rFonts w:ascii="Times New Roman" w:hAnsi="Times New Roman" w:cs="Times New Roman"/>
          <w:sz w:val="28"/>
          <w:szCs w:val="28"/>
        </w:rPr>
        <w:t>а также ростом рабочей силы за счет увеличения возраста для выхода на пенсию.</w:t>
      </w:r>
    </w:p>
    <w:p w:rsidR="001D7E97" w:rsidRDefault="001D7E97" w:rsidP="001D7E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из-за беспрецедентного санкционного давления на Р</w:t>
      </w:r>
      <w:r w:rsidR="0056032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 настроенные хозяйственные и логистические процессы приходится оперативно корректировать. </w:t>
      </w:r>
    </w:p>
    <w:p w:rsidR="001D7E97" w:rsidRDefault="001D7E97" w:rsidP="001D7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предприятий сталкивается с проблемой падения спроса </w:t>
      </w:r>
      <w:r>
        <w:rPr>
          <w:rFonts w:ascii="Times New Roman" w:hAnsi="Times New Roman" w:cs="Times New Roman"/>
          <w:sz w:val="28"/>
          <w:szCs w:val="28"/>
        </w:rPr>
        <w:br/>
        <w:t>на продукцию, в том числе из-за ухода зарубежных покупателей. При этом предприниматели стараются не допускать снижение заработных плат или сокращение персонала.</w:t>
      </w:r>
    </w:p>
    <w:p w:rsidR="001D7E97" w:rsidRPr="00AF02D0" w:rsidRDefault="001D7E97" w:rsidP="001D7E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02D0">
        <w:rPr>
          <w:rFonts w:ascii="Times New Roman" w:hAnsi="Times New Roman" w:cs="Times New Roman"/>
          <w:sz w:val="28"/>
          <w:szCs w:val="28"/>
        </w:rPr>
        <w:t>Прогнозирование показателя «Количество созданных рабочих мест» осуществлялось на основании оценочных сведений о вводе в эксплуатацию нежилых помещений, объектов социальной сферы и реализации инвестиционн</w:t>
      </w:r>
      <w:r w:rsidR="00560323">
        <w:rPr>
          <w:rFonts w:ascii="Times New Roman" w:hAnsi="Times New Roman" w:cs="Times New Roman"/>
          <w:sz w:val="28"/>
          <w:szCs w:val="28"/>
        </w:rPr>
        <w:t>ых проектов, а</w:t>
      </w:r>
      <w:r>
        <w:rPr>
          <w:rFonts w:ascii="Times New Roman" w:hAnsi="Times New Roman" w:cs="Times New Roman"/>
          <w:sz w:val="28"/>
          <w:szCs w:val="28"/>
        </w:rPr>
        <w:t xml:space="preserve"> также с</w:t>
      </w:r>
      <w:r w:rsidRPr="00AF02D0">
        <w:rPr>
          <w:rFonts w:ascii="Times New Roman" w:hAnsi="Times New Roman" w:cs="Times New Roman"/>
          <w:sz w:val="28"/>
          <w:szCs w:val="28"/>
        </w:rPr>
        <w:t xml:space="preserve"> учетом реализации мер целевой поддержки субъектов малого бизнеса на муниципальном и региональном уровнях</w:t>
      </w:r>
      <w:r w:rsidR="00560323">
        <w:rPr>
          <w:rFonts w:ascii="Times New Roman" w:hAnsi="Times New Roman" w:cs="Times New Roman"/>
          <w:sz w:val="28"/>
          <w:szCs w:val="28"/>
        </w:rPr>
        <w:t>.</w:t>
      </w:r>
      <w:r w:rsidRPr="00AF02D0">
        <w:rPr>
          <w:rFonts w:ascii="Times New Roman" w:hAnsi="Times New Roman" w:cs="Times New Roman"/>
          <w:sz w:val="28"/>
          <w:szCs w:val="28"/>
        </w:rPr>
        <w:t xml:space="preserve"> </w:t>
      </w:r>
      <w:r w:rsidR="0056032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редполагается, что </w:t>
      </w:r>
      <w:r w:rsidRPr="00AF02D0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F02D0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AF02D0">
        <w:rPr>
          <w:rFonts w:ascii="Times New Roman" w:hAnsi="Times New Roman" w:cs="Times New Roman"/>
          <w:sz w:val="28"/>
          <w:szCs w:val="28"/>
        </w:rPr>
        <w:t xml:space="preserve">создано </w:t>
      </w:r>
      <w:r>
        <w:rPr>
          <w:rFonts w:ascii="Times New Roman" w:hAnsi="Times New Roman" w:cs="Times New Roman"/>
          <w:sz w:val="28"/>
          <w:szCs w:val="28"/>
        </w:rPr>
        <w:t>3018</w:t>
      </w:r>
      <w:r w:rsidRPr="00AF02D0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32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с ростом на 2</w:t>
      </w:r>
      <w:r w:rsidR="005625FE">
        <w:rPr>
          <w:rFonts w:ascii="Times New Roman" w:hAnsi="Times New Roman" w:cs="Times New Roman"/>
          <w:sz w:val="28"/>
          <w:szCs w:val="28"/>
        </w:rPr>
        <w:t>1,8</w:t>
      </w:r>
      <w:r>
        <w:rPr>
          <w:rFonts w:ascii="Times New Roman" w:hAnsi="Times New Roman" w:cs="Times New Roman"/>
          <w:sz w:val="28"/>
          <w:szCs w:val="28"/>
        </w:rPr>
        <w:t>% по сравнению</w:t>
      </w:r>
      <w:r w:rsidR="005603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предыдущим годом</w:t>
      </w:r>
      <w:r w:rsidRPr="00AF02D0">
        <w:rPr>
          <w:rFonts w:ascii="Times New Roman" w:hAnsi="Times New Roman" w:cs="Times New Roman"/>
          <w:sz w:val="28"/>
          <w:szCs w:val="28"/>
        </w:rPr>
        <w:t xml:space="preserve">. </w:t>
      </w:r>
      <w:r w:rsidR="005625FE">
        <w:rPr>
          <w:rFonts w:ascii="Times New Roman" w:hAnsi="Times New Roman" w:cs="Times New Roman"/>
          <w:sz w:val="28"/>
          <w:szCs w:val="28"/>
        </w:rPr>
        <w:t xml:space="preserve"> К концу прог</w:t>
      </w:r>
      <w:r w:rsidR="004C6779">
        <w:rPr>
          <w:rFonts w:ascii="Times New Roman" w:hAnsi="Times New Roman" w:cs="Times New Roman"/>
          <w:sz w:val="28"/>
          <w:szCs w:val="28"/>
        </w:rPr>
        <w:t>нозного периода будет создано 4</w:t>
      </w:r>
      <w:r w:rsidR="005625FE">
        <w:rPr>
          <w:rFonts w:ascii="Times New Roman" w:hAnsi="Times New Roman" w:cs="Times New Roman"/>
          <w:sz w:val="28"/>
          <w:szCs w:val="28"/>
        </w:rPr>
        <w:t>8</w:t>
      </w:r>
      <w:r w:rsidR="004C6779">
        <w:rPr>
          <w:rFonts w:ascii="Times New Roman" w:hAnsi="Times New Roman" w:cs="Times New Roman"/>
          <w:sz w:val="28"/>
          <w:szCs w:val="28"/>
        </w:rPr>
        <w:t>03</w:t>
      </w:r>
      <w:r w:rsidR="005625FE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 w:rsidR="004C6779">
        <w:rPr>
          <w:rFonts w:ascii="Times New Roman" w:hAnsi="Times New Roman" w:cs="Times New Roman"/>
          <w:sz w:val="28"/>
          <w:szCs w:val="28"/>
        </w:rPr>
        <w:t>а</w:t>
      </w:r>
      <w:r w:rsidR="005625FE">
        <w:rPr>
          <w:rFonts w:ascii="Times New Roman" w:hAnsi="Times New Roman" w:cs="Times New Roman"/>
          <w:sz w:val="28"/>
          <w:szCs w:val="28"/>
        </w:rPr>
        <w:t xml:space="preserve"> по второму варианту расчетов.</w:t>
      </w:r>
    </w:p>
    <w:p w:rsidR="001D7E97" w:rsidRPr="006845FD" w:rsidRDefault="001D7E97" w:rsidP="001D7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FD">
        <w:rPr>
          <w:rFonts w:ascii="Times New Roman" w:hAnsi="Times New Roman" w:cs="Times New Roman"/>
          <w:sz w:val="28"/>
          <w:szCs w:val="28"/>
        </w:rPr>
        <w:t>По оценке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45FD">
        <w:rPr>
          <w:rFonts w:ascii="Times New Roman" w:hAnsi="Times New Roman" w:cs="Times New Roman"/>
          <w:sz w:val="28"/>
          <w:szCs w:val="28"/>
        </w:rPr>
        <w:t xml:space="preserve"> года численность официально зарегистрированных безработных может составить </w:t>
      </w:r>
      <w:r>
        <w:rPr>
          <w:rFonts w:ascii="Times New Roman" w:hAnsi="Times New Roman" w:cs="Times New Roman"/>
          <w:sz w:val="28"/>
          <w:szCs w:val="28"/>
        </w:rPr>
        <w:t>700</w:t>
      </w:r>
      <w:r w:rsidRPr="006845FD">
        <w:rPr>
          <w:rFonts w:ascii="Times New Roman" w:hAnsi="Times New Roman" w:cs="Times New Roman"/>
          <w:sz w:val="28"/>
          <w:szCs w:val="28"/>
        </w:rPr>
        <w:t xml:space="preserve"> человек (в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45FD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754</w:t>
      </w:r>
      <w:r w:rsidRPr="006845FD">
        <w:rPr>
          <w:rFonts w:ascii="Times New Roman" w:hAnsi="Times New Roman" w:cs="Times New Roman"/>
          <w:sz w:val="28"/>
          <w:szCs w:val="28"/>
        </w:rPr>
        <w:t xml:space="preserve"> человек), что обусловлено реализацией региональных программ, включающих мероприятия, направленные на снижение напряженности на рынке труда: опережающее обучение граждан, предполагаемых к увольнению</w:t>
      </w:r>
      <w:r w:rsidR="00083F73">
        <w:rPr>
          <w:rFonts w:ascii="Times New Roman" w:hAnsi="Times New Roman" w:cs="Times New Roman"/>
          <w:sz w:val="28"/>
          <w:szCs w:val="28"/>
        </w:rPr>
        <w:t>;</w:t>
      </w:r>
      <w:r w:rsidRPr="006845FD">
        <w:rPr>
          <w:rFonts w:ascii="Times New Roman" w:hAnsi="Times New Roman" w:cs="Times New Roman"/>
          <w:sz w:val="28"/>
          <w:szCs w:val="28"/>
        </w:rPr>
        <w:t xml:space="preserve"> переобучение безработных граждан и граждан, находящихся в поиске работы</w:t>
      </w:r>
      <w:r w:rsidR="00560323">
        <w:rPr>
          <w:rFonts w:ascii="Times New Roman" w:hAnsi="Times New Roman" w:cs="Times New Roman"/>
          <w:sz w:val="28"/>
          <w:szCs w:val="28"/>
        </w:rPr>
        <w:t>;</w:t>
      </w:r>
      <w:r w:rsidRPr="006845FD">
        <w:rPr>
          <w:rFonts w:ascii="Times New Roman" w:hAnsi="Times New Roman" w:cs="Times New Roman"/>
          <w:sz w:val="28"/>
          <w:szCs w:val="28"/>
        </w:rPr>
        <w:t xml:space="preserve"> содействие самозанятости безработных граждан</w:t>
      </w:r>
      <w:r w:rsidR="00A21E40">
        <w:rPr>
          <w:rFonts w:ascii="Times New Roman" w:hAnsi="Times New Roman" w:cs="Times New Roman"/>
          <w:sz w:val="28"/>
          <w:szCs w:val="28"/>
        </w:rPr>
        <w:t>;</w:t>
      </w:r>
      <w:r w:rsidR="00083F73">
        <w:rPr>
          <w:rFonts w:ascii="Times New Roman" w:hAnsi="Times New Roman" w:cs="Times New Roman"/>
          <w:sz w:val="28"/>
          <w:szCs w:val="28"/>
        </w:rPr>
        <w:t xml:space="preserve"> а также программ по </w:t>
      </w:r>
      <w:r w:rsidRPr="006845FD">
        <w:rPr>
          <w:rFonts w:ascii="Times New Roman" w:hAnsi="Times New Roman" w:cs="Times New Roman"/>
          <w:sz w:val="28"/>
          <w:szCs w:val="28"/>
        </w:rPr>
        <w:t>субсидированию найма.</w:t>
      </w:r>
    </w:p>
    <w:p w:rsidR="001D7E97" w:rsidRPr="00EB4ACD" w:rsidRDefault="001D7E97" w:rsidP="001D7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CD">
        <w:rPr>
          <w:rFonts w:ascii="Times New Roman" w:hAnsi="Times New Roman" w:cs="Times New Roman"/>
          <w:sz w:val="28"/>
          <w:szCs w:val="28"/>
        </w:rPr>
        <w:t xml:space="preserve">В прогнозируемом периоде реализация государственной политики содействия занятости населения, в </w:t>
      </w:r>
      <w:r>
        <w:rPr>
          <w:rFonts w:ascii="Times New Roman" w:hAnsi="Times New Roman" w:cs="Times New Roman"/>
          <w:sz w:val="28"/>
          <w:szCs w:val="28"/>
        </w:rPr>
        <w:t xml:space="preserve">том числе гарантий государства </w:t>
      </w:r>
      <w:r w:rsidRPr="00EB4ACD">
        <w:rPr>
          <w:rFonts w:ascii="Times New Roman" w:hAnsi="Times New Roman" w:cs="Times New Roman"/>
          <w:sz w:val="28"/>
          <w:szCs w:val="28"/>
        </w:rPr>
        <w:t xml:space="preserve">по обеспечению конституционных прав граждан на труд, численность официально зарегистрированных безработных будет снижаться и к </w:t>
      </w:r>
      <w:r w:rsidR="004C6779">
        <w:rPr>
          <w:rFonts w:ascii="Times New Roman" w:hAnsi="Times New Roman" w:cs="Times New Roman"/>
          <w:sz w:val="28"/>
          <w:szCs w:val="28"/>
        </w:rPr>
        <w:t xml:space="preserve">концу </w:t>
      </w:r>
      <w:r w:rsidR="004C6779" w:rsidRPr="004C6779">
        <w:rPr>
          <w:rFonts w:ascii="Times New Roman" w:hAnsi="Times New Roman" w:cs="Times New Roman"/>
          <w:sz w:val="28"/>
          <w:szCs w:val="28"/>
        </w:rPr>
        <w:t xml:space="preserve">прогнозного периода </w:t>
      </w:r>
      <w:r>
        <w:rPr>
          <w:rFonts w:ascii="Times New Roman" w:hAnsi="Times New Roman" w:cs="Times New Roman"/>
          <w:sz w:val="28"/>
          <w:szCs w:val="28"/>
        </w:rPr>
        <w:t>достигнет</w:t>
      </w:r>
      <w:r w:rsidRPr="00EB4ACD">
        <w:rPr>
          <w:rFonts w:ascii="Times New Roman" w:hAnsi="Times New Roman" w:cs="Times New Roman"/>
          <w:sz w:val="28"/>
          <w:szCs w:val="28"/>
        </w:rPr>
        <w:t xml:space="preserve"> </w:t>
      </w:r>
      <w:r w:rsidR="00CC5684">
        <w:rPr>
          <w:rFonts w:ascii="Times New Roman" w:hAnsi="Times New Roman" w:cs="Times New Roman"/>
          <w:sz w:val="28"/>
          <w:szCs w:val="28"/>
        </w:rPr>
        <w:t>590</w:t>
      </w:r>
      <w:r w:rsidRPr="00EB4ACD">
        <w:rPr>
          <w:rFonts w:ascii="Times New Roman" w:hAnsi="Times New Roman" w:cs="Times New Roman"/>
          <w:sz w:val="28"/>
          <w:szCs w:val="28"/>
        </w:rPr>
        <w:t xml:space="preserve"> человек по второму варианту расчетов.</w:t>
      </w:r>
    </w:p>
    <w:p w:rsidR="001D7E97" w:rsidRDefault="001D7E97" w:rsidP="001D7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4ACD">
        <w:rPr>
          <w:rFonts w:ascii="Times New Roman" w:hAnsi="Times New Roman" w:cs="Times New Roman"/>
          <w:sz w:val="28"/>
          <w:szCs w:val="28"/>
        </w:rPr>
        <w:lastRenderedPageBreak/>
        <w:t>Прогнозируемые темпы роста фонда заработной</w:t>
      </w:r>
      <w:r w:rsidRPr="00904B11">
        <w:rPr>
          <w:rFonts w:ascii="Times New Roman" w:hAnsi="Times New Roman" w:cs="Times New Roman"/>
          <w:sz w:val="28"/>
          <w:szCs w:val="28"/>
        </w:rPr>
        <w:t xml:space="preserve"> платы будут определяться ростом номинальной начисленной среднемесячной заработной платы работников, а также кадровой политикой на предприятиях </w:t>
      </w:r>
      <w:r>
        <w:rPr>
          <w:rFonts w:ascii="Times New Roman" w:hAnsi="Times New Roman" w:cs="Times New Roman"/>
          <w:sz w:val="28"/>
          <w:szCs w:val="28"/>
        </w:rPr>
        <w:br/>
      </w:r>
      <w:r w:rsidRPr="00904B11">
        <w:rPr>
          <w:rFonts w:ascii="Times New Roman" w:hAnsi="Times New Roman" w:cs="Times New Roman"/>
          <w:sz w:val="28"/>
          <w:szCs w:val="28"/>
        </w:rPr>
        <w:t>и в организациях – достаточно сдержанной в тенденции роста штатной численности.</w:t>
      </w:r>
    </w:p>
    <w:p w:rsidR="001D7E97" w:rsidRPr="00774A6B" w:rsidRDefault="001D7E97" w:rsidP="001D7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 заработной платы Г</w:t>
      </w:r>
      <w:r w:rsidRPr="00774A6B">
        <w:rPr>
          <w:rFonts w:ascii="Times New Roman" w:hAnsi="Times New Roman" w:cs="Times New Roman"/>
          <w:sz w:val="28"/>
          <w:szCs w:val="28"/>
        </w:rPr>
        <w:t xml:space="preserve">ородского округа включает заработную плату, начисленную работникам предприятий и организаций (без учета внешних совместителей) всех форм собственности, зарегистрированных на территории муниципального образования по всем видам экономической деятельности. </w:t>
      </w:r>
    </w:p>
    <w:p w:rsidR="001D7E97" w:rsidRDefault="001D7E97" w:rsidP="001D7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4A6B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74A6B">
        <w:rPr>
          <w:rFonts w:ascii="Times New Roman" w:hAnsi="Times New Roman" w:cs="Times New Roman"/>
          <w:sz w:val="28"/>
          <w:szCs w:val="28"/>
        </w:rPr>
        <w:t xml:space="preserve"> году фонд заработной платы оценивается в сумме </w:t>
      </w:r>
      <w:r>
        <w:rPr>
          <w:rFonts w:ascii="Times New Roman" w:hAnsi="Times New Roman" w:cs="Times New Roman"/>
          <w:sz w:val="28"/>
          <w:szCs w:val="28"/>
        </w:rPr>
        <w:t>46 203,8</w:t>
      </w:r>
      <w:r w:rsidRPr="00774A6B">
        <w:rPr>
          <w:rFonts w:ascii="Times New Roman" w:hAnsi="Times New Roman" w:cs="Times New Roman"/>
          <w:sz w:val="28"/>
          <w:szCs w:val="28"/>
        </w:rPr>
        <w:t xml:space="preserve"> </w:t>
      </w:r>
      <w:r w:rsidRPr="00774A6B">
        <w:rPr>
          <w:rFonts w:ascii="Times New Roman" w:hAnsi="Times New Roman" w:cs="Times New Roman"/>
          <w:sz w:val="28"/>
          <w:szCs w:val="28"/>
        </w:rPr>
        <w:br/>
        <w:t xml:space="preserve">млн рублей или с ростом к уровню предыдущего года на </w:t>
      </w:r>
      <w:r>
        <w:rPr>
          <w:rFonts w:ascii="Times New Roman" w:hAnsi="Times New Roman" w:cs="Times New Roman"/>
          <w:sz w:val="28"/>
          <w:szCs w:val="28"/>
        </w:rPr>
        <w:t>10,4</w:t>
      </w:r>
      <w:r w:rsidR="00FF5FDB">
        <w:rPr>
          <w:rFonts w:ascii="Times New Roman" w:hAnsi="Times New Roman" w:cs="Times New Roman"/>
          <w:sz w:val="28"/>
          <w:szCs w:val="28"/>
        </w:rPr>
        <w:t>%</w:t>
      </w:r>
      <w:r w:rsidRPr="00774A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6EBD" w:rsidRPr="00774A6B" w:rsidRDefault="002D6EBD" w:rsidP="002D6E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6EBD">
        <w:rPr>
          <w:rFonts w:ascii="Times New Roman" w:hAnsi="Times New Roman" w:cs="Times New Roman"/>
          <w:sz w:val="28"/>
          <w:szCs w:val="28"/>
        </w:rPr>
        <w:t>В настоящее время скорость и сроки восстановления уровня доходов населения характеризуется высокой степенью неопределенности, связанной                с экономическими и политическими проблемами, что по оценкам 2022 года приведет  к снижению динамики роста среднемесячной заработной платы на 2,8 процентных пункта: ожидается, что среднемесячная номинальная начисленная заработная плата увеличится на 7% и составит 54,5 тыс. рублей в абсолютном выражении.</w:t>
      </w:r>
    </w:p>
    <w:p w:rsidR="001D7E97" w:rsidRPr="00FE4309" w:rsidRDefault="001D7E97" w:rsidP="00627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309">
        <w:rPr>
          <w:rFonts w:ascii="Times New Roman" w:hAnsi="Times New Roman" w:cs="Times New Roman"/>
          <w:sz w:val="28"/>
          <w:szCs w:val="28"/>
        </w:rPr>
        <w:t xml:space="preserve">В условиях тенденции по </w:t>
      </w:r>
      <w:r>
        <w:rPr>
          <w:rFonts w:ascii="Times New Roman" w:hAnsi="Times New Roman" w:cs="Times New Roman"/>
          <w:sz w:val="28"/>
          <w:szCs w:val="28"/>
        </w:rPr>
        <w:t xml:space="preserve">развитию </w:t>
      </w:r>
      <w:r w:rsidRPr="00FE4309">
        <w:rPr>
          <w:rFonts w:ascii="Times New Roman" w:hAnsi="Times New Roman" w:cs="Times New Roman"/>
          <w:sz w:val="28"/>
          <w:szCs w:val="28"/>
        </w:rPr>
        <w:t xml:space="preserve">самозанятости населения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FE4309">
        <w:rPr>
          <w:rFonts w:ascii="Times New Roman" w:hAnsi="Times New Roman" w:cs="Times New Roman"/>
          <w:sz w:val="28"/>
          <w:szCs w:val="28"/>
        </w:rPr>
        <w:t xml:space="preserve">и увеличения численности субъектов малого и среднего предпринимательства, а также их совокупного оборота среднемесячная начисленная заработная плата </w:t>
      </w:r>
      <w:r w:rsidR="002D6EB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долгосрочной перспективе продолжит расти и</w:t>
      </w:r>
      <w:r w:rsidR="002D6EBD">
        <w:rPr>
          <w:rFonts w:ascii="Times New Roman" w:hAnsi="Times New Roman" w:cs="Times New Roman"/>
          <w:sz w:val="28"/>
          <w:szCs w:val="28"/>
        </w:rPr>
        <w:t xml:space="preserve"> </w:t>
      </w:r>
      <w:r w:rsidR="0062707F">
        <w:rPr>
          <w:rFonts w:ascii="Times New Roman" w:hAnsi="Times New Roman" w:cs="Times New Roman"/>
          <w:sz w:val="28"/>
          <w:szCs w:val="28"/>
        </w:rPr>
        <w:t>у</w:t>
      </w:r>
      <w:r w:rsidR="00FC76DA">
        <w:rPr>
          <w:rFonts w:ascii="Times New Roman" w:hAnsi="Times New Roman" w:cs="Times New Roman"/>
          <w:sz w:val="28"/>
          <w:szCs w:val="28"/>
        </w:rPr>
        <w:t>величится к 2</w:t>
      </w:r>
      <w:r w:rsidR="0062707F">
        <w:rPr>
          <w:rFonts w:ascii="Times New Roman" w:hAnsi="Times New Roman" w:cs="Times New Roman"/>
          <w:sz w:val="28"/>
          <w:szCs w:val="28"/>
        </w:rPr>
        <w:t>0</w:t>
      </w:r>
      <w:r w:rsidR="00FC76DA">
        <w:rPr>
          <w:rFonts w:ascii="Times New Roman" w:hAnsi="Times New Roman" w:cs="Times New Roman"/>
          <w:sz w:val="28"/>
          <w:szCs w:val="28"/>
        </w:rPr>
        <w:t>3</w:t>
      </w:r>
      <w:r w:rsidR="0062707F">
        <w:rPr>
          <w:rFonts w:ascii="Times New Roman" w:hAnsi="Times New Roman" w:cs="Times New Roman"/>
          <w:sz w:val="28"/>
          <w:szCs w:val="28"/>
        </w:rPr>
        <w:t>0</w:t>
      </w:r>
      <w:r w:rsidR="00FC76DA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уровня 89,3 тыс. рублей с</w:t>
      </w:r>
      <w:r w:rsidRPr="00BF65E8">
        <w:t xml:space="preserve"> </w:t>
      </w:r>
      <w:r w:rsidRPr="00BF65E8">
        <w:rPr>
          <w:rFonts w:ascii="Times New Roman" w:hAnsi="Times New Roman" w:cs="Times New Roman"/>
          <w:sz w:val="28"/>
          <w:szCs w:val="28"/>
        </w:rPr>
        <w:t>тенденцией ежегодного</w:t>
      </w:r>
      <w:r w:rsidR="002D6EBD">
        <w:rPr>
          <w:rFonts w:ascii="Times New Roman" w:hAnsi="Times New Roman" w:cs="Times New Roman"/>
          <w:sz w:val="28"/>
          <w:szCs w:val="28"/>
        </w:rPr>
        <w:t xml:space="preserve"> </w:t>
      </w:r>
      <w:r w:rsidR="0062707F">
        <w:rPr>
          <w:rFonts w:ascii="Times New Roman" w:hAnsi="Times New Roman" w:cs="Times New Roman"/>
          <w:sz w:val="28"/>
          <w:szCs w:val="28"/>
        </w:rPr>
        <w:t>прироста 6,2%.</w:t>
      </w:r>
    </w:p>
    <w:p w:rsidR="001D7E97" w:rsidRPr="00FE4309" w:rsidRDefault="001D7E97" w:rsidP="001D7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309">
        <w:rPr>
          <w:rFonts w:ascii="Times New Roman" w:hAnsi="Times New Roman" w:cs="Times New Roman"/>
          <w:sz w:val="28"/>
          <w:szCs w:val="28"/>
        </w:rPr>
        <w:t>Устойчивому росту заработной платы будет способствовать реализация мер, направленных на достижение целей, установленных Указом Президента РФ</w:t>
      </w:r>
      <w:r w:rsidR="00560323">
        <w:rPr>
          <w:rFonts w:ascii="Times New Roman" w:hAnsi="Times New Roman" w:cs="Times New Roman"/>
          <w:sz w:val="28"/>
          <w:szCs w:val="28"/>
        </w:rPr>
        <w:t xml:space="preserve"> </w:t>
      </w:r>
      <w:r w:rsidRPr="00FE4309">
        <w:rPr>
          <w:rFonts w:ascii="Times New Roman" w:hAnsi="Times New Roman" w:cs="Times New Roman"/>
          <w:sz w:val="28"/>
          <w:szCs w:val="28"/>
        </w:rPr>
        <w:t>от 07.05.2018 № 204 «О национальных целях</w:t>
      </w:r>
      <w:r w:rsidR="002D6EBD">
        <w:rPr>
          <w:rFonts w:ascii="Times New Roman" w:hAnsi="Times New Roman" w:cs="Times New Roman"/>
          <w:sz w:val="28"/>
          <w:szCs w:val="28"/>
        </w:rPr>
        <w:t xml:space="preserve"> </w:t>
      </w:r>
      <w:r w:rsidRPr="00FE4309">
        <w:rPr>
          <w:rFonts w:ascii="Times New Roman" w:hAnsi="Times New Roman" w:cs="Times New Roman"/>
          <w:sz w:val="28"/>
          <w:szCs w:val="28"/>
        </w:rPr>
        <w:t>и стратегических задачах развития РФ на период до 2024 года», предусматривающих рост производительности труда в экономике, в том числе за счет повышения квалификации работников.</w:t>
      </w:r>
    </w:p>
    <w:p w:rsidR="001D7E97" w:rsidRDefault="001D7E97" w:rsidP="001D7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309">
        <w:rPr>
          <w:rFonts w:ascii="Times New Roman" w:hAnsi="Times New Roman" w:cs="Times New Roman"/>
          <w:sz w:val="28"/>
          <w:szCs w:val="28"/>
        </w:rPr>
        <w:t>На уровень заработной</w:t>
      </w:r>
      <w:r w:rsidRPr="00904B11">
        <w:rPr>
          <w:rFonts w:ascii="Times New Roman" w:hAnsi="Times New Roman" w:cs="Times New Roman"/>
          <w:sz w:val="28"/>
          <w:szCs w:val="28"/>
        </w:rPr>
        <w:t xml:space="preserve"> платы оказывают влияние объективные причины: объемы экономической деятельности, а также проведение государственной политики повышения заработной платы в бюджетной сфере и проведение мероприятий по оптим</w:t>
      </w:r>
      <w:r>
        <w:rPr>
          <w:rFonts w:ascii="Times New Roman" w:hAnsi="Times New Roman" w:cs="Times New Roman"/>
          <w:sz w:val="28"/>
          <w:szCs w:val="28"/>
        </w:rPr>
        <w:t>изации производственных затрат.</w:t>
      </w:r>
    </w:p>
    <w:p w:rsidR="001D7E97" w:rsidRPr="00904B11" w:rsidRDefault="001D7E97" w:rsidP="001D7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Устойчивый рост заработной платы работников окажет влияние </w:t>
      </w:r>
      <w:r>
        <w:rPr>
          <w:rFonts w:ascii="Times New Roman" w:hAnsi="Times New Roman" w:cs="Times New Roman"/>
          <w:sz w:val="28"/>
          <w:szCs w:val="28"/>
        </w:rPr>
        <w:br/>
        <w:t>на стабильный рост фонда заработной платы в долгосрочной перспективе на 7,7</w:t>
      </w:r>
      <w:r w:rsidR="00FF5FDB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1D7E97" w:rsidRDefault="001D7E97" w:rsidP="001D7E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09B9">
        <w:rPr>
          <w:rFonts w:ascii="Times New Roman" w:hAnsi="Times New Roman" w:cs="Times New Roman"/>
          <w:sz w:val="28"/>
          <w:szCs w:val="28"/>
        </w:rPr>
        <w:t>Улучшение условий труда и финансовой обеспеченности работающи</w:t>
      </w:r>
      <w:r>
        <w:rPr>
          <w:rFonts w:ascii="Times New Roman" w:hAnsi="Times New Roman" w:cs="Times New Roman"/>
          <w:sz w:val="28"/>
          <w:szCs w:val="28"/>
        </w:rPr>
        <w:t xml:space="preserve">х граждан, создание для жителей Городского округа </w:t>
      </w:r>
      <w:r w:rsidRPr="00A809B9">
        <w:rPr>
          <w:rFonts w:ascii="Times New Roman" w:hAnsi="Times New Roman" w:cs="Times New Roman"/>
          <w:sz w:val="28"/>
          <w:szCs w:val="28"/>
        </w:rPr>
        <w:t>условий труда, дающих возможность «</w:t>
      </w:r>
      <w:r>
        <w:rPr>
          <w:rFonts w:ascii="Times New Roman" w:hAnsi="Times New Roman" w:cs="Times New Roman"/>
          <w:sz w:val="28"/>
          <w:szCs w:val="28"/>
        </w:rPr>
        <w:t>работать там, где живешь» - буду</w:t>
      </w:r>
      <w:r w:rsidRPr="00A809B9">
        <w:rPr>
          <w:rFonts w:ascii="Times New Roman" w:hAnsi="Times New Roman" w:cs="Times New Roman"/>
          <w:sz w:val="28"/>
          <w:szCs w:val="28"/>
        </w:rPr>
        <w:t>т способствовать росту численности занятых в экономике.</w:t>
      </w:r>
    </w:p>
    <w:p w:rsidR="00AD7991" w:rsidRDefault="00AD7991" w:rsidP="00B641E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5684" w:rsidRDefault="00CC5684" w:rsidP="001A4966">
      <w:pPr>
        <w:spacing w:after="0" w:line="240" w:lineRule="auto"/>
        <w:ind w:left="7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684" w:rsidRDefault="00CC5684" w:rsidP="001A4966">
      <w:pPr>
        <w:spacing w:after="0" w:line="240" w:lineRule="auto"/>
        <w:ind w:left="7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684" w:rsidRDefault="00CC5684" w:rsidP="001A4966">
      <w:pPr>
        <w:spacing w:after="0" w:line="240" w:lineRule="auto"/>
        <w:ind w:left="7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991" w:rsidRPr="00F270A9" w:rsidRDefault="00FB1250" w:rsidP="001A4966">
      <w:pPr>
        <w:spacing w:after="0" w:line="240" w:lineRule="auto"/>
        <w:ind w:left="78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002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</w:t>
      </w:r>
      <w:r w:rsidR="00AD7991" w:rsidRPr="007002B1">
        <w:rPr>
          <w:rFonts w:ascii="Times New Roman" w:hAnsi="Times New Roman" w:cs="Times New Roman"/>
          <w:b/>
          <w:sz w:val="28"/>
          <w:szCs w:val="28"/>
        </w:rPr>
        <w:t>Торговля</w:t>
      </w:r>
      <w:r w:rsidR="00AD7991" w:rsidRPr="00FB12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1250" w:rsidRPr="00FB1250" w:rsidRDefault="00FB1250" w:rsidP="00FB125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B1250">
        <w:rPr>
          <w:rFonts w:ascii="Times New Roman" w:hAnsi="Times New Roman"/>
          <w:sz w:val="28"/>
          <w:szCs w:val="28"/>
        </w:rPr>
        <w:t xml:space="preserve">Потребительский рынок Городского округа остается наиболее привлекательной отраслью экономики для инвестирования и имеет стабильное состояние. </w:t>
      </w:r>
    </w:p>
    <w:p w:rsidR="00FB1250" w:rsidRPr="00FB1250" w:rsidRDefault="00FB1250" w:rsidP="00FB125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B1250">
        <w:rPr>
          <w:rFonts w:ascii="Times New Roman" w:hAnsi="Times New Roman"/>
          <w:sz w:val="28"/>
          <w:szCs w:val="28"/>
        </w:rPr>
        <w:t xml:space="preserve">Инфраструктура потребительского рынка товаров и услуг насчитывает              в своем составе более 1300 стационарных предприятий торговли, в том числе              4 торгово-развлекательных центра; 290 предприятий общественного питания              на 10810 посадочных мест, 995 объектов бытового обслуживания; более 200 нестационарных объектов мелкорозничной торговли.  </w:t>
      </w:r>
    </w:p>
    <w:p w:rsidR="00275B33" w:rsidRDefault="00FB1250" w:rsidP="00FB125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B1250">
        <w:rPr>
          <w:rFonts w:ascii="Times New Roman" w:hAnsi="Times New Roman"/>
          <w:sz w:val="28"/>
          <w:szCs w:val="28"/>
        </w:rPr>
        <w:t xml:space="preserve">В соответствии с мероприятиями подпрограммы </w:t>
      </w:r>
      <w:r w:rsidR="00E327B4">
        <w:rPr>
          <w:rFonts w:ascii="Times New Roman" w:hAnsi="Times New Roman"/>
          <w:sz w:val="28"/>
          <w:szCs w:val="28"/>
        </w:rPr>
        <w:t xml:space="preserve">4 </w:t>
      </w:r>
      <w:r w:rsidRPr="00FB1250">
        <w:rPr>
          <w:rFonts w:ascii="Times New Roman" w:hAnsi="Times New Roman"/>
          <w:sz w:val="28"/>
          <w:szCs w:val="28"/>
        </w:rPr>
        <w:t>«Развитие потребительского рынка и услуг» муниципальной программы «Предпринимательство» ожидается, что в 2022 году будет введено                                   с использованием внебюджетных инвестиций почти 7 тыс. кв. м новых торговых площадей</w:t>
      </w:r>
      <w:r w:rsidR="006C6CF2">
        <w:rPr>
          <w:rFonts w:ascii="Times New Roman" w:hAnsi="Times New Roman"/>
          <w:sz w:val="28"/>
          <w:szCs w:val="28"/>
        </w:rPr>
        <w:t xml:space="preserve">, площадь составит 439,5 </w:t>
      </w:r>
      <w:r w:rsidR="006C6CF2" w:rsidRPr="006C6CF2">
        <w:rPr>
          <w:rFonts w:ascii="Times New Roman" w:hAnsi="Times New Roman"/>
          <w:sz w:val="28"/>
          <w:szCs w:val="28"/>
        </w:rPr>
        <w:t>тыс. кв. м</w:t>
      </w:r>
      <w:r w:rsidR="006C6CF2">
        <w:rPr>
          <w:rFonts w:ascii="Times New Roman" w:hAnsi="Times New Roman"/>
          <w:sz w:val="28"/>
          <w:szCs w:val="28"/>
        </w:rPr>
        <w:t>.</w:t>
      </w:r>
    </w:p>
    <w:p w:rsidR="00FB1250" w:rsidRPr="00FB1250" w:rsidRDefault="00FB1250" w:rsidP="00FB125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B1250">
        <w:rPr>
          <w:rFonts w:ascii="Times New Roman" w:hAnsi="Times New Roman"/>
          <w:sz w:val="28"/>
          <w:szCs w:val="28"/>
        </w:rPr>
        <w:t>Потребительский спрос на товары, реализуемые в розничной торговле Городского округа, определяется уровнем и динамикой доходов населения, распределением населения по доходным группам. Открытие магазинов эконом-класса крупными торговыми сетями, такими как: «Пятерочка», «Дикси», «Верный», «Магнит», «Чижик» и др. – одна из возможностей обеспечить население относительно недорогими товарами. В округе – более 140 социально-ориентированных предприятий розничной торговли.</w:t>
      </w:r>
    </w:p>
    <w:p w:rsidR="00FB1250" w:rsidRPr="00FB1250" w:rsidRDefault="00FB1250" w:rsidP="00FB125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B1250">
        <w:rPr>
          <w:rFonts w:ascii="Times New Roman" w:hAnsi="Times New Roman"/>
          <w:sz w:val="28"/>
          <w:szCs w:val="28"/>
        </w:rPr>
        <w:t xml:space="preserve">Обследование деловой активности организаций розничной торговли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FB1250">
        <w:rPr>
          <w:rFonts w:ascii="Times New Roman" w:hAnsi="Times New Roman"/>
          <w:sz w:val="28"/>
          <w:szCs w:val="28"/>
        </w:rPr>
        <w:t>в текущем периоде 2022 года показывает, что экономическая ситуация в сфере остается стабильной.</w:t>
      </w:r>
    </w:p>
    <w:p w:rsidR="00FB1250" w:rsidRPr="00FB1250" w:rsidRDefault="00FB1250" w:rsidP="00FB125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B1250">
        <w:rPr>
          <w:rFonts w:ascii="Times New Roman" w:hAnsi="Times New Roman"/>
          <w:sz w:val="28"/>
          <w:szCs w:val="28"/>
        </w:rPr>
        <w:t xml:space="preserve">По оценке, оборот розничной торговли по </w:t>
      </w:r>
      <w:r w:rsidR="00E01B4E">
        <w:rPr>
          <w:rFonts w:ascii="Times New Roman" w:hAnsi="Times New Roman"/>
          <w:sz w:val="28"/>
          <w:szCs w:val="28"/>
        </w:rPr>
        <w:t>«</w:t>
      </w:r>
      <w:r w:rsidRPr="00FB1250">
        <w:rPr>
          <w:rFonts w:ascii="Times New Roman" w:hAnsi="Times New Roman"/>
          <w:sz w:val="28"/>
          <w:szCs w:val="28"/>
        </w:rPr>
        <w:t>крупным и средним</w:t>
      </w:r>
      <w:r w:rsidR="00E01B4E">
        <w:rPr>
          <w:rFonts w:ascii="Times New Roman" w:hAnsi="Times New Roman"/>
          <w:sz w:val="28"/>
          <w:szCs w:val="28"/>
        </w:rPr>
        <w:t>»</w:t>
      </w:r>
      <w:r w:rsidRPr="00FB1250">
        <w:rPr>
          <w:rFonts w:ascii="Times New Roman" w:hAnsi="Times New Roman"/>
          <w:sz w:val="28"/>
          <w:szCs w:val="28"/>
        </w:rPr>
        <w:t xml:space="preserve"> </w:t>
      </w:r>
      <w:r w:rsidR="00E01B4E">
        <w:rPr>
          <w:rFonts w:ascii="Times New Roman" w:hAnsi="Times New Roman"/>
          <w:sz w:val="28"/>
          <w:szCs w:val="28"/>
        </w:rPr>
        <w:t>предприятиям</w:t>
      </w:r>
      <w:r w:rsidRPr="00FB1250">
        <w:rPr>
          <w:rFonts w:ascii="Times New Roman" w:hAnsi="Times New Roman"/>
          <w:sz w:val="28"/>
          <w:szCs w:val="28"/>
        </w:rPr>
        <w:t xml:space="preserve"> в 2022 году составит 89631,3 млн рублей или по индексу физического объема 110,7 </w:t>
      </w:r>
      <w:r w:rsidR="00FF5FDB">
        <w:rPr>
          <w:rFonts w:ascii="Times New Roman" w:hAnsi="Times New Roman"/>
          <w:sz w:val="28"/>
          <w:szCs w:val="28"/>
        </w:rPr>
        <w:t>%</w:t>
      </w:r>
      <w:r w:rsidR="00A73411">
        <w:rPr>
          <w:rFonts w:ascii="Times New Roman" w:hAnsi="Times New Roman"/>
          <w:sz w:val="28"/>
          <w:szCs w:val="28"/>
        </w:rPr>
        <w:t xml:space="preserve"> </w:t>
      </w:r>
      <w:r w:rsidRPr="00FB1250">
        <w:rPr>
          <w:rFonts w:ascii="Times New Roman" w:hAnsi="Times New Roman"/>
          <w:sz w:val="28"/>
          <w:szCs w:val="28"/>
        </w:rPr>
        <w:t>к уровню предыдущего года. Темп роста оборота розничной торговли определяется открытием новых торговых центров (в том числе мебельного центра «Пеликан»), торговых объектов в новостройках Городского округа, реконструкцией и модернизацией уже действующих организаций.</w:t>
      </w:r>
    </w:p>
    <w:p w:rsidR="00626F79" w:rsidRDefault="00FB1250" w:rsidP="00626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26F79" w:rsidRPr="00626F79">
        <w:rPr>
          <w:rFonts w:ascii="Times New Roman" w:hAnsi="Times New Roman"/>
          <w:sz w:val="28"/>
          <w:szCs w:val="28"/>
        </w:rPr>
        <w:t xml:space="preserve">Изменяется архитектура рынка, который постепенно переходит </w:t>
      </w:r>
      <w:r w:rsidR="00626F79">
        <w:rPr>
          <w:rFonts w:ascii="Times New Roman" w:hAnsi="Times New Roman"/>
          <w:sz w:val="28"/>
          <w:szCs w:val="28"/>
        </w:rPr>
        <w:t xml:space="preserve">                          </w:t>
      </w:r>
      <w:r w:rsidR="00626F79" w:rsidRPr="00626F79">
        <w:rPr>
          <w:rFonts w:ascii="Times New Roman" w:hAnsi="Times New Roman"/>
          <w:sz w:val="28"/>
          <w:szCs w:val="28"/>
        </w:rPr>
        <w:t>в Интернет-пространство. Данное направление обладает потенциалом роста объемов продаж, в особенности в условиях появления специализированных платформ. Еще большее развитие получает адресная доставка продуктов питания и других сопутствующих товаров.</w:t>
      </w:r>
    </w:p>
    <w:p w:rsidR="00FB1250" w:rsidRPr="00FB1250" w:rsidRDefault="00E01B4E" w:rsidP="00626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01B4E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В</w:t>
      </w:r>
      <w:r w:rsidRPr="00E01B4E">
        <w:rPr>
          <w:rFonts w:ascii="Times New Roman" w:hAnsi="Times New Roman"/>
          <w:sz w:val="28"/>
          <w:szCs w:val="28"/>
        </w:rPr>
        <w:t xml:space="preserve"> прогнозном периоде </w:t>
      </w:r>
      <w:r w:rsidR="00FB1250" w:rsidRPr="00FB1250">
        <w:rPr>
          <w:rFonts w:ascii="Times New Roman" w:hAnsi="Times New Roman"/>
          <w:sz w:val="28"/>
          <w:szCs w:val="28"/>
        </w:rPr>
        <w:t xml:space="preserve">динамика развития потребительского </w:t>
      </w:r>
      <w:r w:rsidRPr="00E01B4E">
        <w:rPr>
          <w:rFonts w:ascii="Times New Roman" w:hAnsi="Times New Roman"/>
          <w:sz w:val="28"/>
          <w:szCs w:val="28"/>
        </w:rPr>
        <w:t xml:space="preserve">рынка </w:t>
      </w:r>
      <w:r w:rsidR="00FB1250" w:rsidRPr="00FB1250">
        <w:rPr>
          <w:rFonts w:ascii="Times New Roman" w:hAnsi="Times New Roman"/>
          <w:sz w:val="28"/>
          <w:szCs w:val="28"/>
        </w:rPr>
        <w:t xml:space="preserve">оценивается как благополучная. К 2030 году предполагается </w:t>
      </w:r>
      <w:r>
        <w:rPr>
          <w:rFonts w:ascii="Times New Roman" w:hAnsi="Times New Roman"/>
          <w:sz w:val="28"/>
          <w:szCs w:val="28"/>
        </w:rPr>
        <w:t xml:space="preserve">увеличение розничного </w:t>
      </w:r>
      <w:r w:rsidR="00FB1250" w:rsidRPr="00FB1250">
        <w:rPr>
          <w:rFonts w:ascii="Times New Roman" w:hAnsi="Times New Roman"/>
          <w:sz w:val="28"/>
          <w:szCs w:val="28"/>
        </w:rPr>
        <w:t xml:space="preserve"> товарооборота до уровня 109,9</w:t>
      </w:r>
      <w:r w:rsidR="00FF5FD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и составит 207775,4 млн рублей </w:t>
      </w:r>
      <w:r w:rsidR="00FB1250" w:rsidRPr="00FB1250">
        <w:rPr>
          <w:rFonts w:ascii="Times New Roman" w:hAnsi="Times New Roman"/>
          <w:sz w:val="28"/>
          <w:szCs w:val="28"/>
        </w:rPr>
        <w:t xml:space="preserve">в </w:t>
      </w:r>
      <w:r w:rsidR="00C0428A">
        <w:rPr>
          <w:rFonts w:ascii="Times New Roman" w:hAnsi="Times New Roman"/>
          <w:sz w:val="28"/>
          <w:szCs w:val="28"/>
        </w:rPr>
        <w:t>действующих</w:t>
      </w:r>
      <w:r w:rsidR="00FB1250" w:rsidRPr="00FB1250">
        <w:rPr>
          <w:rFonts w:ascii="Times New Roman" w:hAnsi="Times New Roman"/>
          <w:sz w:val="28"/>
          <w:szCs w:val="28"/>
        </w:rPr>
        <w:t xml:space="preserve"> ценах по второму варианту расчетов. На развитие оборота розничной торговли будет по-прежнему оказывать влияние увеличение численности населения, изменение потребностей населения и инфляционные ожидания.</w:t>
      </w:r>
    </w:p>
    <w:p w:rsidR="00D01A7D" w:rsidRPr="006C6256" w:rsidRDefault="00FB1250" w:rsidP="00F976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FB1250">
        <w:rPr>
          <w:rFonts w:ascii="Times New Roman" w:hAnsi="Times New Roman"/>
          <w:sz w:val="28"/>
          <w:szCs w:val="28"/>
        </w:rPr>
        <w:t>Развитию рынка потребительских товаров в долгосрочном периоде будет способствовать расширение предложений и возможностей сетевой торговли; ввод в эксплуатацию новых торговых центров: ТЦ «Весна», ТЦ «Веста-СА», ТЦ «Нео Ривер»; популяризация ярмарочных мероприятий тематического                  и универсального типов, а также ярмарок социальной направленности.</w:t>
      </w:r>
    </w:p>
    <w:sectPr w:rsidR="00D01A7D" w:rsidRPr="006C6256" w:rsidSect="00A0462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C6F" w:rsidRDefault="00C14C6F" w:rsidP="00FE6C86">
      <w:pPr>
        <w:spacing w:after="0" w:line="240" w:lineRule="auto"/>
      </w:pPr>
      <w:r>
        <w:separator/>
      </w:r>
    </w:p>
  </w:endnote>
  <w:endnote w:type="continuationSeparator" w:id="0">
    <w:p w:rsidR="00C14C6F" w:rsidRDefault="00C14C6F" w:rsidP="00FE6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C6F" w:rsidRDefault="00C14C6F" w:rsidP="00FE6C86">
      <w:pPr>
        <w:spacing w:after="0" w:line="240" w:lineRule="auto"/>
      </w:pPr>
      <w:r>
        <w:separator/>
      </w:r>
    </w:p>
  </w:footnote>
  <w:footnote w:type="continuationSeparator" w:id="0">
    <w:p w:rsidR="00C14C6F" w:rsidRDefault="00C14C6F" w:rsidP="00FE6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4170252"/>
      <w:docPartObj>
        <w:docPartGallery w:val="Page Numbers (Top of Page)"/>
        <w:docPartUnique/>
      </w:docPartObj>
    </w:sdtPr>
    <w:sdtEndPr/>
    <w:sdtContent>
      <w:p w:rsidR="00C14C6F" w:rsidRDefault="00563EBB">
        <w:pPr>
          <w:pStyle w:val="a4"/>
          <w:jc w:val="center"/>
        </w:pPr>
        <w:r>
          <w:rPr>
            <w:noProof/>
          </w:rPr>
          <w:fldChar w:fldCharType="begin"/>
        </w:r>
        <w:r w:rsidR="00C14C6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001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4C6F" w:rsidRDefault="00C14C6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5735A"/>
    <w:multiLevelType w:val="hybridMultilevel"/>
    <w:tmpl w:val="6C381D10"/>
    <w:lvl w:ilvl="0" w:tplc="4924761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1DDF23D4"/>
    <w:multiLevelType w:val="hybridMultilevel"/>
    <w:tmpl w:val="6C381D10"/>
    <w:lvl w:ilvl="0" w:tplc="4924761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 w15:restartNumberingAfterBreak="0">
    <w:nsid w:val="38B35C82"/>
    <w:multiLevelType w:val="hybridMultilevel"/>
    <w:tmpl w:val="4B0EC97E"/>
    <w:lvl w:ilvl="0" w:tplc="61100F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767C9"/>
    <w:multiLevelType w:val="hybridMultilevel"/>
    <w:tmpl w:val="24368618"/>
    <w:lvl w:ilvl="0" w:tplc="91E696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EAD2315"/>
    <w:multiLevelType w:val="hybridMultilevel"/>
    <w:tmpl w:val="224ABBA8"/>
    <w:lvl w:ilvl="0" w:tplc="91E696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FF55BF"/>
    <w:multiLevelType w:val="hybridMultilevel"/>
    <w:tmpl w:val="299A5836"/>
    <w:lvl w:ilvl="0" w:tplc="E0E8DE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80A8F"/>
    <w:multiLevelType w:val="multilevel"/>
    <w:tmpl w:val="443292E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20B8"/>
    <w:rsid w:val="00033A78"/>
    <w:rsid w:val="00060E99"/>
    <w:rsid w:val="000611A2"/>
    <w:rsid w:val="00070CEB"/>
    <w:rsid w:val="00083F73"/>
    <w:rsid w:val="00090FA2"/>
    <w:rsid w:val="000A7568"/>
    <w:rsid w:val="000C7F87"/>
    <w:rsid w:val="00112898"/>
    <w:rsid w:val="001131FB"/>
    <w:rsid w:val="00117236"/>
    <w:rsid w:val="00117749"/>
    <w:rsid w:val="0013361F"/>
    <w:rsid w:val="001438B0"/>
    <w:rsid w:val="00145556"/>
    <w:rsid w:val="00147435"/>
    <w:rsid w:val="001725A5"/>
    <w:rsid w:val="00181617"/>
    <w:rsid w:val="001A2EC5"/>
    <w:rsid w:val="001A31F9"/>
    <w:rsid w:val="001A4966"/>
    <w:rsid w:val="001B3AF4"/>
    <w:rsid w:val="001D7E97"/>
    <w:rsid w:val="001E324F"/>
    <w:rsid w:val="001F58D5"/>
    <w:rsid w:val="002006AE"/>
    <w:rsid w:val="0021079F"/>
    <w:rsid w:val="002155EE"/>
    <w:rsid w:val="00234E13"/>
    <w:rsid w:val="00237FB7"/>
    <w:rsid w:val="00243F5B"/>
    <w:rsid w:val="00245A70"/>
    <w:rsid w:val="00252D3A"/>
    <w:rsid w:val="00254726"/>
    <w:rsid w:val="00254832"/>
    <w:rsid w:val="00256219"/>
    <w:rsid w:val="0026122E"/>
    <w:rsid w:val="00267BFC"/>
    <w:rsid w:val="0027158C"/>
    <w:rsid w:val="00271F72"/>
    <w:rsid w:val="00275B33"/>
    <w:rsid w:val="00285319"/>
    <w:rsid w:val="002859D0"/>
    <w:rsid w:val="002B5BEE"/>
    <w:rsid w:val="002B7355"/>
    <w:rsid w:val="002C179F"/>
    <w:rsid w:val="002C5A1F"/>
    <w:rsid w:val="002D6EBD"/>
    <w:rsid w:val="002E19A6"/>
    <w:rsid w:val="002E57BF"/>
    <w:rsid w:val="002F34BB"/>
    <w:rsid w:val="003371EC"/>
    <w:rsid w:val="003427E1"/>
    <w:rsid w:val="00345B85"/>
    <w:rsid w:val="003528D4"/>
    <w:rsid w:val="003558B8"/>
    <w:rsid w:val="00362848"/>
    <w:rsid w:val="00366436"/>
    <w:rsid w:val="003954B7"/>
    <w:rsid w:val="0039716A"/>
    <w:rsid w:val="003A3DD0"/>
    <w:rsid w:val="003D54AE"/>
    <w:rsid w:val="003E4F2D"/>
    <w:rsid w:val="00402A0F"/>
    <w:rsid w:val="00405801"/>
    <w:rsid w:val="00410418"/>
    <w:rsid w:val="00435FAA"/>
    <w:rsid w:val="00445348"/>
    <w:rsid w:val="004507F3"/>
    <w:rsid w:val="00466386"/>
    <w:rsid w:val="0047669A"/>
    <w:rsid w:val="00491994"/>
    <w:rsid w:val="0049430B"/>
    <w:rsid w:val="004A1657"/>
    <w:rsid w:val="004A6E0D"/>
    <w:rsid w:val="004B0F3C"/>
    <w:rsid w:val="004B640F"/>
    <w:rsid w:val="004C23E4"/>
    <w:rsid w:val="004C3871"/>
    <w:rsid w:val="004C6779"/>
    <w:rsid w:val="004D271B"/>
    <w:rsid w:val="004E1CC0"/>
    <w:rsid w:val="004E3451"/>
    <w:rsid w:val="004F2682"/>
    <w:rsid w:val="0050038D"/>
    <w:rsid w:val="005026F2"/>
    <w:rsid w:val="005129F2"/>
    <w:rsid w:val="005150DE"/>
    <w:rsid w:val="00546D18"/>
    <w:rsid w:val="0055595D"/>
    <w:rsid w:val="00557182"/>
    <w:rsid w:val="00560323"/>
    <w:rsid w:val="005625FE"/>
    <w:rsid w:val="00563EBB"/>
    <w:rsid w:val="0056505C"/>
    <w:rsid w:val="00571416"/>
    <w:rsid w:val="005734A5"/>
    <w:rsid w:val="005771CE"/>
    <w:rsid w:val="005777F7"/>
    <w:rsid w:val="005872EA"/>
    <w:rsid w:val="0059709E"/>
    <w:rsid w:val="00597202"/>
    <w:rsid w:val="005A18F5"/>
    <w:rsid w:val="00607846"/>
    <w:rsid w:val="00626F79"/>
    <w:rsid w:val="0062707F"/>
    <w:rsid w:val="006273BD"/>
    <w:rsid w:val="006845FD"/>
    <w:rsid w:val="00684DD6"/>
    <w:rsid w:val="00693922"/>
    <w:rsid w:val="006C6256"/>
    <w:rsid w:val="006C6CF2"/>
    <w:rsid w:val="006C6E4C"/>
    <w:rsid w:val="006D0A33"/>
    <w:rsid w:val="006E2770"/>
    <w:rsid w:val="006E54A7"/>
    <w:rsid w:val="006F46B4"/>
    <w:rsid w:val="007002B1"/>
    <w:rsid w:val="00714547"/>
    <w:rsid w:val="00721847"/>
    <w:rsid w:val="00725F73"/>
    <w:rsid w:val="0073131C"/>
    <w:rsid w:val="00735174"/>
    <w:rsid w:val="00752B0E"/>
    <w:rsid w:val="00764128"/>
    <w:rsid w:val="007678CD"/>
    <w:rsid w:val="00780190"/>
    <w:rsid w:val="00794E22"/>
    <w:rsid w:val="0079628B"/>
    <w:rsid w:val="007A2260"/>
    <w:rsid w:val="007A5BD9"/>
    <w:rsid w:val="007A616F"/>
    <w:rsid w:val="007B1641"/>
    <w:rsid w:val="007B20B8"/>
    <w:rsid w:val="007C241C"/>
    <w:rsid w:val="007D6D46"/>
    <w:rsid w:val="007E6623"/>
    <w:rsid w:val="007F0F16"/>
    <w:rsid w:val="0080014F"/>
    <w:rsid w:val="008068EE"/>
    <w:rsid w:val="008109FC"/>
    <w:rsid w:val="008224A5"/>
    <w:rsid w:val="0083700C"/>
    <w:rsid w:val="00840BF7"/>
    <w:rsid w:val="00855F99"/>
    <w:rsid w:val="00880509"/>
    <w:rsid w:val="00896290"/>
    <w:rsid w:val="008A2537"/>
    <w:rsid w:val="008B0C1F"/>
    <w:rsid w:val="008B54F7"/>
    <w:rsid w:val="0090400D"/>
    <w:rsid w:val="00921727"/>
    <w:rsid w:val="0096182F"/>
    <w:rsid w:val="00991E34"/>
    <w:rsid w:val="009A0840"/>
    <w:rsid w:val="009A666E"/>
    <w:rsid w:val="009B10D4"/>
    <w:rsid w:val="009E165A"/>
    <w:rsid w:val="00A0039E"/>
    <w:rsid w:val="00A04628"/>
    <w:rsid w:val="00A15134"/>
    <w:rsid w:val="00A21E40"/>
    <w:rsid w:val="00A27569"/>
    <w:rsid w:val="00A35E73"/>
    <w:rsid w:val="00A501DF"/>
    <w:rsid w:val="00A552C3"/>
    <w:rsid w:val="00A66219"/>
    <w:rsid w:val="00A67F0E"/>
    <w:rsid w:val="00A73411"/>
    <w:rsid w:val="00A8563F"/>
    <w:rsid w:val="00A91B25"/>
    <w:rsid w:val="00A9442F"/>
    <w:rsid w:val="00AA7476"/>
    <w:rsid w:val="00AD50AA"/>
    <w:rsid w:val="00AD6725"/>
    <w:rsid w:val="00AD7991"/>
    <w:rsid w:val="00AE6485"/>
    <w:rsid w:val="00AF2068"/>
    <w:rsid w:val="00B16AD8"/>
    <w:rsid w:val="00B2100F"/>
    <w:rsid w:val="00B63002"/>
    <w:rsid w:val="00B641E7"/>
    <w:rsid w:val="00B73061"/>
    <w:rsid w:val="00B739BC"/>
    <w:rsid w:val="00BB3D2B"/>
    <w:rsid w:val="00BC4961"/>
    <w:rsid w:val="00BF65E8"/>
    <w:rsid w:val="00C0428A"/>
    <w:rsid w:val="00C044AB"/>
    <w:rsid w:val="00C14C6F"/>
    <w:rsid w:val="00C16327"/>
    <w:rsid w:val="00C21023"/>
    <w:rsid w:val="00C533E9"/>
    <w:rsid w:val="00C5662D"/>
    <w:rsid w:val="00C65C4F"/>
    <w:rsid w:val="00C75505"/>
    <w:rsid w:val="00C85EF9"/>
    <w:rsid w:val="00C91347"/>
    <w:rsid w:val="00C97021"/>
    <w:rsid w:val="00CC07CB"/>
    <w:rsid w:val="00CC5684"/>
    <w:rsid w:val="00CD3A89"/>
    <w:rsid w:val="00CD5CAE"/>
    <w:rsid w:val="00CE3724"/>
    <w:rsid w:val="00CE4D0A"/>
    <w:rsid w:val="00CE72C3"/>
    <w:rsid w:val="00CF0052"/>
    <w:rsid w:val="00CF2A24"/>
    <w:rsid w:val="00D01A7D"/>
    <w:rsid w:val="00D17BB4"/>
    <w:rsid w:val="00D2282B"/>
    <w:rsid w:val="00D30239"/>
    <w:rsid w:val="00D350B3"/>
    <w:rsid w:val="00D35F26"/>
    <w:rsid w:val="00D4275D"/>
    <w:rsid w:val="00D429C7"/>
    <w:rsid w:val="00D53EDF"/>
    <w:rsid w:val="00D61138"/>
    <w:rsid w:val="00D671B9"/>
    <w:rsid w:val="00D85F1D"/>
    <w:rsid w:val="00D92ED4"/>
    <w:rsid w:val="00DA0422"/>
    <w:rsid w:val="00DA544E"/>
    <w:rsid w:val="00DB22C7"/>
    <w:rsid w:val="00DE44CA"/>
    <w:rsid w:val="00DF099E"/>
    <w:rsid w:val="00E01B4E"/>
    <w:rsid w:val="00E02B87"/>
    <w:rsid w:val="00E158B7"/>
    <w:rsid w:val="00E327B4"/>
    <w:rsid w:val="00E35FDC"/>
    <w:rsid w:val="00E40C7E"/>
    <w:rsid w:val="00E53C02"/>
    <w:rsid w:val="00E64D3E"/>
    <w:rsid w:val="00E65C9A"/>
    <w:rsid w:val="00E921BC"/>
    <w:rsid w:val="00EC6F21"/>
    <w:rsid w:val="00EE4AC9"/>
    <w:rsid w:val="00F07428"/>
    <w:rsid w:val="00F40367"/>
    <w:rsid w:val="00F54AEB"/>
    <w:rsid w:val="00F5575B"/>
    <w:rsid w:val="00F6412F"/>
    <w:rsid w:val="00F74DEC"/>
    <w:rsid w:val="00F756E8"/>
    <w:rsid w:val="00F859F6"/>
    <w:rsid w:val="00F90B8E"/>
    <w:rsid w:val="00F90CA5"/>
    <w:rsid w:val="00F913B1"/>
    <w:rsid w:val="00F96106"/>
    <w:rsid w:val="00F9762A"/>
    <w:rsid w:val="00FA07AA"/>
    <w:rsid w:val="00FA5416"/>
    <w:rsid w:val="00FB041B"/>
    <w:rsid w:val="00FB1250"/>
    <w:rsid w:val="00FB1613"/>
    <w:rsid w:val="00FB1C50"/>
    <w:rsid w:val="00FB26AB"/>
    <w:rsid w:val="00FB5FDA"/>
    <w:rsid w:val="00FB6FD3"/>
    <w:rsid w:val="00FC76DA"/>
    <w:rsid w:val="00FD6A4E"/>
    <w:rsid w:val="00FE086E"/>
    <w:rsid w:val="00FE508A"/>
    <w:rsid w:val="00FE6C86"/>
    <w:rsid w:val="00FF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C1FD8-AE8C-45B5-A33D-F01C3A58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20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20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B20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B20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B20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20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B20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B20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650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E6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6C86"/>
  </w:style>
  <w:style w:type="paragraph" w:styleId="a6">
    <w:name w:val="footer"/>
    <w:basedOn w:val="a"/>
    <w:link w:val="a7"/>
    <w:uiPriority w:val="99"/>
    <w:semiHidden/>
    <w:unhideWhenUsed/>
    <w:rsid w:val="00FE6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6C86"/>
  </w:style>
  <w:style w:type="paragraph" w:styleId="a8">
    <w:name w:val="Balloon Text"/>
    <w:basedOn w:val="a"/>
    <w:link w:val="a9"/>
    <w:uiPriority w:val="99"/>
    <w:semiHidden/>
    <w:unhideWhenUsed/>
    <w:rsid w:val="00FE6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6C8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F2A24"/>
    <w:rPr>
      <w:color w:val="0000FF"/>
      <w:u w:val="single"/>
    </w:rPr>
  </w:style>
  <w:style w:type="character" w:customStyle="1" w:styleId="eop">
    <w:name w:val="eop"/>
    <w:basedOn w:val="a0"/>
    <w:rsid w:val="00B641E7"/>
  </w:style>
  <w:style w:type="character" w:styleId="ab">
    <w:name w:val="Emphasis"/>
    <w:basedOn w:val="a0"/>
    <w:uiPriority w:val="20"/>
    <w:qFormat/>
    <w:rsid w:val="00B641E7"/>
    <w:rPr>
      <w:i/>
      <w:iCs/>
    </w:rPr>
  </w:style>
  <w:style w:type="paragraph" w:styleId="ac">
    <w:name w:val="No Spacing"/>
    <w:link w:val="ad"/>
    <w:uiPriority w:val="1"/>
    <w:qFormat/>
    <w:rsid w:val="00FB161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FB1613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0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C8342-F11B-416B-B183-1F737335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17</Pages>
  <Words>5951</Words>
  <Characters>33926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preteka</dc:creator>
  <cp:keywords/>
  <dc:description/>
  <cp:lastModifiedBy>Анна А. Хохолкова</cp:lastModifiedBy>
  <cp:revision>155</cp:revision>
  <cp:lastPrinted>2022-12-09T08:50:00Z</cp:lastPrinted>
  <dcterms:created xsi:type="dcterms:W3CDTF">2021-12-08T12:13:00Z</dcterms:created>
  <dcterms:modified xsi:type="dcterms:W3CDTF">2022-12-09T11:55:00Z</dcterms:modified>
</cp:coreProperties>
</file>