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813" w:rsidRPr="00880A2B" w:rsidRDefault="00F31813" w:rsidP="00F31813">
      <w:pPr>
        <w:autoSpaceDE w:val="0"/>
        <w:autoSpaceDN w:val="0"/>
        <w:adjustRightInd w:val="0"/>
        <w:spacing w:after="0" w:line="240" w:lineRule="auto"/>
        <w:ind w:left="10490" w:right="-29"/>
        <w:rPr>
          <w:rFonts w:ascii="Times New Roman" w:eastAsia="Calibri" w:hAnsi="Times New Roman"/>
          <w:sz w:val="28"/>
          <w:szCs w:val="28"/>
        </w:rPr>
      </w:pPr>
      <w:r w:rsidRPr="00880A2B">
        <w:rPr>
          <w:rFonts w:ascii="Times New Roman" w:eastAsia="Calibri" w:hAnsi="Times New Roman"/>
          <w:sz w:val="28"/>
          <w:szCs w:val="28"/>
        </w:rPr>
        <w:t>Приложение</w:t>
      </w:r>
      <w:r w:rsidR="003C6D9C">
        <w:rPr>
          <w:rFonts w:ascii="Times New Roman" w:eastAsia="Calibri" w:hAnsi="Times New Roman"/>
          <w:sz w:val="28"/>
          <w:szCs w:val="28"/>
        </w:rPr>
        <w:t xml:space="preserve"> 3</w:t>
      </w:r>
    </w:p>
    <w:p w:rsidR="00F31813" w:rsidRDefault="00F31813" w:rsidP="00F31813">
      <w:pPr>
        <w:keepNext/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 постановлению</w:t>
      </w:r>
      <w:r w:rsidRPr="00880A2B">
        <w:rPr>
          <w:rFonts w:ascii="Times New Roman" w:eastAsia="Calibri" w:hAnsi="Times New Roman"/>
          <w:sz w:val="28"/>
          <w:szCs w:val="28"/>
        </w:rPr>
        <w:t xml:space="preserve"> Администрации </w:t>
      </w:r>
    </w:p>
    <w:p w:rsidR="00F31813" w:rsidRDefault="00F31813" w:rsidP="00F31813">
      <w:pPr>
        <w:keepNext/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/>
          <w:sz w:val="28"/>
          <w:szCs w:val="28"/>
        </w:rPr>
      </w:pPr>
      <w:r w:rsidRPr="00880A2B">
        <w:rPr>
          <w:rFonts w:ascii="Times New Roman" w:eastAsia="Calibri" w:hAnsi="Times New Roman"/>
          <w:sz w:val="28"/>
          <w:szCs w:val="28"/>
        </w:rPr>
        <w:t xml:space="preserve">Городского округа </w:t>
      </w:r>
      <w:proofErr w:type="gramStart"/>
      <w:r w:rsidRPr="00880A2B">
        <w:rPr>
          <w:rFonts w:ascii="Times New Roman" w:eastAsia="Calibri" w:hAnsi="Times New Roman"/>
          <w:sz w:val="28"/>
          <w:szCs w:val="28"/>
        </w:rPr>
        <w:t>Пушкинский</w:t>
      </w:r>
      <w:proofErr w:type="gramEnd"/>
      <w:r w:rsidRPr="00880A2B">
        <w:rPr>
          <w:rFonts w:ascii="Times New Roman" w:eastAsia="Calibri" w:hAnsi="Times New Roman"/>
          <w:sz w:val="28"/>
          <w:szCs w:val="28"/>
        </w:rPr>
        <w:t xml:space="preserve"> </w:t>
      </w:r>
    </w:p>
    <w:p w:rsidR="00FA31CF" w:rsidRDefault="00F31813" w:rsidP="00F31813">
      <w:pPr>
        <w:keepNext/>
        <w:autoSpaceDE w:val="0"/>
        <w:autoSpaceDN w:val="0"/>
        <w:adjustRightInd w:val="0"/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880A2B">
        <w:rPr>
          <w:rFonts w:ascii="Times New Roman" w:eastAsia="Calibri" w:hAnsi="Times New Roman"/>
          <w:sz w:val="28"/>
          <w:szCs w:val="28"/>
        </w:rPr>
        <w:t xml:space="preserve">Московской области </w:t>
      </w:r>
      <w:r w:rsidRPr="00880A2B">
        <w:rPr>
          <w:rFonts w:ascii="Times New Roman" w:eastAsia="Calibri" w:hAnsi="Times New Roman"/>
          <w:sz w:val="28"/>
          <w:szCs w:val="28"/>
        </w:rPr>
        <w:br/>
      </w:r>
      <w:proofErr w:type="gramStart"/>
      <w:r w:rsidRPr="00880A2B">
        <w:rPr>
          <w:rFonts w:ascii="Times New Roman" w:eastAsia="Calibri" w:hAnsi="Times New Roman"/>
          <w:sz w:val="28"/>
          <w:szCs w:val="28"/>
        </w:rPr>
        <w:t>от</w:t>
      </w:r>
      <w:proofErr w:type="gramEnd"/>
      <w:r w:rsidRPr="00880A2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_______________</w:t>
      </w:r>
      <w:r w:rsidRPr="00880A2B">
        <w:rPr>
          <w:rFonts w:ascii="Times New Roman" w:eastAsia="Calibri" w:hAnsi="Times New Roman"/>
          <w:sz w:val="28"/>
          <w:szCs w:val="28"/>
        </w:rPr>
        <w:t xml:space="preserve"> №</w:t>
      </w:r>
      <w:r>
        <w:rPr>
          <w:rFonts w:ascii="Times New Roman" w:eastAsia="Calibri" w:hAnsi="Times New Roman"/>
          <w:sz w:val="28"/>
          <w:szCs w:val="28"/>
        </w:rPr>
        <w:t xml:space="preserve"> ________</w:t>
      </w:r>
    </w:p>
    <w:p w:rsidR="00327F2E" w:rsidRPr="00716F06" w:rsidRDefault="00327F2E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5E49" w:rsidRPr="00716F06" w:rsidRDefault="004C5E49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340D" w:rsidRPr="00716F06" w:rsidRDefault="0031340D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«</w:t>
      </w:r>
    </w:p>
    <w:p w:rsidR="003C6D9C" w:rsidRDefault="003C6D9C" w:rsidP="003C6D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4329">
        <w:rPr>
          <w:rFonts w:ascii="Times New Roman" w:hAnsi="Times New Roman"/>
          <w:b/>
          <w:sz w:val="28"/>
          <w:szCs w:val="28"/>
        </w:rPr>
        <w:t>6.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0EA3">
        <w:rPr>
          <w:rFonts w:ascii="Times New Roman" w:hAnsi="Times New Roman" w:cs="Times New Roman"/>
          <w:b/>
          <w:sz w:val="28"/>
          <w:szCs w:val="28"/>
        </w:rPr>
        <w:t>Методика определения результатов выполнения мероприятий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C6D9C" w:rsidRPr="00540EA3" w:rsidRDefault="003C6D9C" w:rsidP="003C6D9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Городского округа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Пушкинский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Московской области</w:t>
      </w:r>
    </w:p>
    <w:p w:rsidR="00F31813" w:rsidRDefault="003C6D9C" w:rsidP="003C6D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0EA3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Культура и туризм</w:t>
      </w:r>
      <w:r w:rsidRPr="00540EA3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0EA3">
        <w:rPr>
          <w:rFonts w:ascii="Times New Roman" w:hAnsi="Times New Roman" w:cs="Times New Roman"/>
          <w:b/>
          <w:sz w:val="28"/>
          <w:szCs w:val="28"/>
        </w:rPr>
        <w:t xml:space="preserve">на </w:t>
      </w:r>
      <w:r>
        <w:rPr>
          <w:rFonts w:ascii="Times New Roman" w:hAnsi="Times New Roman" w:cs="Times New Roman"/>
          <w:b/>
          <w:sz w:val="28"/>
          <w:szCs w:val="28"/>
        </w:rPr>
        <w:t xml:space="preserve">2023-2027 </w:t>
      </w:r>
      <w:r w:rsidRPr="00540EA3">
        <w:rPr>
          <w:rFonts w:ascii="Times New Roman" w:hAnsi="Times New Roman" w:cs="Times New Roman"/>
          <w:b/>
          <w:sz w:val="28"/>
          <w:szCs w:val="28"/>
        </w:rPr>
        <w:t>годы</w:t>
      </w:r>
    </w:p>
    <w:p w:rsidR="00164F7F" w:rsidRPr="003C6D9C" w:rsidRDefault="00164F7F" w:rsidP="00164F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164F7F" w:rsidRPr="00E37212" w:rsidRDefault="00164F7F" w:rsidP="00164F7F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17"/>
        <w:gridCol w:w="1367"/>
        <w:gridCol w:w="1417"/>
        <w:gridCol w:w="1418"/>
        <w:gridCol w:w="3736"/>
        <w:gridCol w:w="1418"/>
        <w:gridCol w:w="4537"/>
      </w:tblGrid>
      <w:tr w:rsidR="003C6D9C" w:rsidRPr="009C4AE0" w:rsidTr="003C6D9C">
        <w:tc>
          <w:tcPr>
            <w:tcW w:w="817" w:type="dxa"/>
          </w:tcPr>
          <w:p w:rsidR="003C6D9C" w:rsidRPr="009C4AE0" w:rsidRDefault="003C6D9C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C4AE0">
              <w:rPr>
                <w:rFonts w:ascii="Times New Roman" w:hAnsi="Times New Roman"/>
                <w:sz w:val="21"/>
                <w:szCs w:val="21"/>
              </w:rPr>
              <w:t xml:space="preserve">№ </w:t>
            </w:r>
            <w:r w:rsidRPr="009C4AE0">
              <w:rPr>
                <w:rFonts w:ascii="Times New Roman" w:hAnsi="Times New Roman"/>
                <w:sz w:val="21"/>
                <w:szCs w:val="21"/>
              </w:rPr>
              <w:br/>
            </w:r>
            <w:proofErr w:type="spellStart"/>
            <w:proofErr w:type="gramStart"/>
            <w:r w:rsidRPr="009C4AE0">
              <w:rPr>
                <w:rFonts w:ascii="Times New Roman" w:hAnsi="Times New Roman"/>
                <w:sz w:val="21"/>
                <w:szCs w:val="21"/>
              </w:rPr>
              <w:t>п</w:t>
            </w:r>
            <w:proofErr w:type="spellEnd"/>
            <w:proofErr w:type="gramEnd"/>
            <w:r w:rsidRPr="009C4AE0">
              <w:rPr>
                <w:rFonts w:ascii="Times New Roman" w:hAnsi="Times New Roman"/>
                <w:sz w:val="21"/>
                <w:szCs w:val="21"/>
              </w:rPr>
              <w:t>/</w:t>
            </w:r>
            <w:proofErr w:type="spellStart"/>
            <w:r w:rsidRPr="009C4AE0">
              <w:rPr>
                <w:rFonts w:ascii="Times New Roman" w:hAnsi="Times New Roman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1367" w:type="dxa"/>
          </w:tcPr>
          <w:p w:rsidR="003C6D9C" w:rsidRPr="00DB60F7" w:rsidRDefault="003C6D9C" w:rsidP="003C6D9C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C4AE0">
              <w:rPr>
                <w:rFonts w:ascii="Times New Roman" w:hAnsi="Times New Roman"/>
                <w:sz w:val="21"/>
                <w:szCs w:val="21"/>
              </w:rPr>
              <w:t>№ подпрограммы</w:t>
            </w:r>
          </w:p>
        </w:tc>
        <w:tc>
          <w:tcPr>
            <w:tcW w:w="1417" w:type="dxa"/>
          </w:tcPr>
          <w:p w:rsidR="003C6D9C" w:rsidRPr="009C4AE0" w:rsidRDefault="003C6D9C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9C4AE0">
              <w:rPr>
                <w:rFonts w:ascii="Times New Roman" w:hAnsi="Times New Roman"/>
                <w:sz w:val="21"/>
                <w:szCs w:val="21"/>
              </w:rPr>
              <w:t xml:space="preserve">№ основного мероприятия </w:t>
            </w:r>
          </w:p>
        </w:tc>
        <w:tc>
          <w:tcPr>
            <w:tcW w:w="1418" w:type="dxa"/>
          </w:tcPr>
          <w:p w:rsidR="003C6D9C" w:rsidRPr="009C4AE0" w:rsidRDefault="003C6D9C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9C4AE0">
              <w:rPr>
                <w:rFonts w:ascii="Times New Roman" w:hAnsi="Times New Roman"/>
                <w:sz w:val="21"/>
                <w:szCs w:val="21"/>
              </w:rPr>
              <w:t xml:space="preserve">№ мероприятия </w:t>
            </w:r>
          </w:p>
        </w:tc>
        <w:tc>
          <w:tcPr>
            <w:tcW w:w="3736" w:type="dxa"/>
          </w:tcPr>
          <w:p w:rsidR="003C6D9C" w:rsidRPr="009C4AE0" w:rsidRDefault="003C6D9C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C4AE0">
              <w:rPr>
                <w:rFonts w:ascii="Times New Roman" w:hAnsi="Times New Roman"/>
                <w:sz w:val="21"/>
                <w:szCs w:val="21"/>
              </w:rPr>
              <w:t>Наименование результата</w:t>
            </w:r>
          </w:p>
        </w:tc>
        <w:tc>
          <w:tcPr>
            <w:tcW w:w="1418" w:type="dxa"/>
          </w:tcPr>
          <w:p w:rsidR="003C6D9C" w:rsidRPr="009C4AE0" w:rsidRDefault="003C6D9C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C4AE0">
              <w:rPr>
                <w:rFonts w:ascii="Times New Roman" w:hAnsi="Times New Roman"/>
                <w:sz w:val="21"/>
                <w:szCs w:val="21"/>
              </w:rPr>
              <w:t>Единица измерения</w:t>
            </w:r>
          </w:p>
        </w:tc>
        <w:tc>
          <w:tcPr>
            <w:tcW w:w="4537" w:type="dxa"/>
          </w:tcPr>
          <w:p w:rsidR="003C6D9C" w:rsidRPr="009C4AE0" w:rsidRDefault="003C6D9C" w:rsidP="000977A8">
            <w:pPr>
              <w:pStyle w:val="ConsPlusNormal"/>
              <w:ind w:right="-79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C4AE0">
              <w:rPr>
                <w:rFonts w:ascii="Times New Roman" w:hAnsi="Times New Roman"/>
                <w:sz w:val="21"/>
                <w:szCs w:val="21"/>
              </w:rPr>
              <w:t>Порядок определения значений</w:t>
            </w:r>
          </w:p>
        </w:tc>
      </w:tr>
    </w:tbl>
    <w:p w:rsidR="003C6D9C" w:rsidRPr="009B4606" w:rsidRDefault="003C6D9C" w:rsidP="003C6D9C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/>
      </w:tblPr>
      <w:tblGrid>
        <w:gridCol w:w="817"/>
        <w:gridCol w:w="1367"/>
        <w:gridCol w:w="1417"/>
        <w:gridCol w:w="1418"/>
        <w:gridCol w:w="3736"/>
        <w:gridCol w:w="1418"/>
        <w:gridCol w:w="4537"/>
      </w:tblGrid>
      <w:tr w:rsidR="003C6D9C" w:rsidRPr="00684662" w:rsidTr="003C6D9C">
        <w:trPr>
          <w:tblHeader/>
        </w:trPr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684662">
              <w:rPr>
                <w:rFonts w:ascii="Times New Roman" w:hAnsi="Times New Roman"/>
                <w:sz w:val="21"/>
                <w:szCs w:val="21"/>
                <w:lang w:val="en-US"/>
              </w:rPr>
              <w:t>2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684662">
              <w:rPr>
                <w:rFonts w:ascii="Times New Roman" w:hAnsi="Times New Roman"/>
                <w:sz w:val="21"/>
                <w:szCs w:val="21"/>
                <w:lang w:val="en-US"/>
              </w:rPr>
              <w:t>3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684662">
              <w:rPr>
                <w:rFonts w:ascii="Times New Roman" w:hAnsi="Times New Roman"/>
                <w:sz w:val="21"/>
                <w:szCs w:val="21"/>
                <w:lang w:val="en-US"/>
              </w:rPr>
              <w:t>4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684662">
              <w:rPr>
                <w:rFonts w:ascii="Times New Roman" w:hAnsi="Times New Roman"/>
                <w:sz w:val="21"/>
                <w:szCs w:val="21"/>
                <w:lang w:val="en-US"/>
              </w:rPr>
              <w:t>5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1.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01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01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eastAsiaTheme="minorEastAsia" w:hAnsi="Times New Roman"/>
                <w:sz w:val="21"/>
                <w:szCs w:val="21"/>
              </w:rPr>
              <w:t>Проведены работы по установке на объектах культурного наследия, находящихся в собственности Московской области, информационных надписей и обозначений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шт.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Общее количество объектов культурного наследия, находящихся в собственности Московской области, на которые установлены информационные надписи и обозначения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2.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01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01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eastAsia="Calibri" w:hAnsi="Times New Roman"/>
                <w:sz w:val="21"/>
                <w:szCs w:val="21"/>
              </w:rPr>
              <w:t>Доля достижения показателей муниципального задания, характеризующих объем оказываемых муниципальных услуг (работ) от установленных показателей муниципального задания, характеризующих объем муниципальных услуг (работ)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spellStart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Ддп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= </w:t>
            </w:r>
            <w:proofErr w:type="gramStart"/>
            <w:r w:rsidRPr="00684662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V</w:t>
            </w:r>
            <w:proofErr w:type="spellStart"/>
            <w:proofErr w:type="gram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му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/</w:t>
            </w:r>
            <w:r w:rsidRPr="00684662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V</w:t>
            </w:r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об </w:t>
            </w:r>
            <w:proofErr w:type="spellStart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х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100, где:</w:t>
            </w:r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proofErr w:type="spellStart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Ддп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– доля достижения показателей муниципального задания;</w:t>
            </w:r>
          </w:p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  <w:lang w:val="en-US"/>
              </w:rPr>
              <w:t>V</w:t>
            </w:r>
            <w:proofErr w:type="spellStart"/>
            <w:r w:rsidRPr="00684662">
              <w:rPr>
                <w:rFonts w:ascii="Times New Roman" w:hAnsi="Times New Roman"/>
                <w:sz w:val="21"/>
                <w:szCs w:val="21"/>
              </w:rPr>
              <w:t>му</w:t>
            </w:r>
            <w:proofErr w:type="spellEnd"/>
            <w:r w:rsidRPr="00684662">
              <w:rPr>
                <w:rFonts w:ascii="Times New Roman" w:hAnsi="Times New Roman"/>
                <w:sz w:val="21"/>
                <w:szCs w:val="21"/>
              </w:rPr>
              <w:t xml:space="preserve"> – объем муниципальных услуг (работ) за отчетный период;</w:t>
            </w:r>
          </w:p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  <w:lang w:val="en-US"/>
              </w:rPr>
              <w:t>V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об – общий объем муниципальных услуг (работ), установленных муниципальным заданием на год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3.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03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04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eastAsia="Calibri" w:hAnsi="Times New Roman"/>
                <w:sz w:val="21"/>
                <w:szCs w:val="21"/>
              </w:rPr>
              <w:t>Выполнены работы по обеспечению пожарной безопасности муниципальных музеев Московской области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ед.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Общее количество муниципальных музеев, в которых выполнены работы по обеспечению пожарной безопасности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4.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01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01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eastAsia="Calibri" w:hAnsi="Times New Roman"/>
                <w:sz w:val="21"/>
                <w:szCs w:val="21"/>
              </w:rPr>
              <w:t xml:space="preserve">Доля достижения показателей муниципального задания, характеризующих объем оказываемых </w:t>
            </w:r>
            <w:r w:rsidRPr="00684662">
              <w:rPr>
                <w:rFonts w:ascii="Times New Roman" w:eastAsia="Calibri" w:hAnsi="Times New Roman"/>
                <w:sz w:val="21"/>
                <w:szCs w:val="21"/>
              </w:rPr>
              <w:lastRenderedPageBreak/>
              <w:t>муниципальных услуг (работ) от установленных показателей муниципального задания, характеризующих объем муниципальных услуг (работ)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lastRenderedPageBreak/>
              <w:t>%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spellStart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Ддп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= </w:t>
            </w:r>
            <w:proofErr w:type="gramStart"/>
            <w:r w:rsidRPr="00684662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V</w:t>
            </w:r>
            <w:proofErr w:type="spellStart"/>
            <w:proofErr w:type="gram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му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/</w:t>
            </w:r>
            <w:r w:rsidRPr="00684662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V</w:t>
            </w:r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об </w:t>
            </w:r>
            <w:proofErr w:type="spellStart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х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100, где:</w:t>
            </w:r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proofErr w:type="spellStart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Ддп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– доля достижения показателей муниципального задания;</w:t>
            </w:r>
          </w:p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  <w:lang w:val="en-US"/>
              </w:rPr>
              <w:lastRenderedPageBreak/>
              <w:t>V</w:t>
            </w:r>
            <w:proofErr w:type="spellStart"/>
            <w:r w:rsidRPr="00684662">
              <w:rPr>
                <w:rFonts w:ascii="Times New Roman" w:hAnsi="Times New Roman"/>
                <w:sz w:val="21"/>
                <w:szCs w:val="21"/>
              </w:rPr>
              <w:t>му</w:t>
            </w:r>
            <w:proofErr w:type="spellEnd"/>
            <w:r w:rsidRPr="00684662">
              <w:rPr>
                <w:rFonts w:ascii="Times New Roman" w:hAnsi="Times New Roman"/>
                <w:sz w:val="21"/>
                <w:szCs w:val="21"/>
              </w:rPr>
              <w:t xml:space="preserve"> – объем муниципальных услуг (работ) за отчетный период;</w:t>
            </w:r>
          </w:p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  <w:lang w:val="en-US"/>
              </w:rPr>
              <w:t>V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об – общий объем муниципальных услуг (работ), установленных муниципальным заданием на год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lastRenderedPageBreak/>
              <w:t>5.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01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03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eastAsia="Calibri" w:hAnsi="Times New Roman"/>
                <w:sz w:val="21"/>
                <w:szCs w:val="21"/>
              </w:rPr>
            </w:pPr>
            <w:r w:rsidRPr="00684662">
              <w:rPr>
                <w:rFonts w:ascii="Times New Roman" w:eastAsia="Calibri" w:hAnsi="Times New Roman"/>
                <w:sz w:val="21"/>
                <w:szCs w:val="21"/>
              </w:rPr>
              <w:t>Муниципальные библиотеки Московской области (юридические лица), обновившие книжный фонд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ед.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Общее количество муниципальных библиотек (юридических лиц), которые обновили книжный фонд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6.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02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03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eastAsia="Calibri" w:hAnsi="Times New Roman"/>
                <w:sz w:val="21"/>
                <w:szCs w:val="21"/>
              </w:rPr>
            </w:pPr>
            <w:r w:rsidRPr="00684662">
              <w:rPr>
                <w:rFonts w:ascii="Times New Roman" w:eastAsiaTheme="minorEastAsia" w:hAnsi="Times New Roman"/>
                <w:sz w:val="21"/>
                <w:szCs w:val="21"/>
              </w:rPr>
              <w:t>Муниципальные библиотеки Московской области, выполнившие работы по обеспечению пожарной безопасности, единиц (ежегодно)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ед.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Общее количество муниципальных библиотек, в которых выполнены работы по обеспечению пожарной безопасности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3C6D9C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C6D9C">
              <w:rPr>
                <w:rFonts w:ascii="Times New Roman" w:hAnsi="Times New Roman"/>
                <w:sz w:val="21"/>
                <w:szCs w:val="21"/>
              </w:rPr>
              <w:t>7.</w:t>
            </w:r>
          </w:p>
        </w:tc>
        <w:tc>
          <w:tcPr>
            <w:tcW w:w="1367" w:type="dxa"/>
          </w:tcPr>
          <w:p w:rsidR="003C6D9C" w:rsidRPr="003C6D9C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C6D9C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417" w:type="dxa"/>
          </w:tcPr>
          <w:p w:rsidR="003C6D9C" w:rsidRPr="003C6D9C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C6D9C">
              <w:rPr>
                <w:rFonts w:ascii="Times New Roman" w:hAnsi="Times New Roman"/>
                <w:sz w:val="21"/>
                <w:szCs w:val="21"/>
              </w:rPr>
              <w:t>01</w:t>
            </w:r>
          </w:p>
        </w:tc>
        <w:tc>
          <w:tcPr>
            <w:tcW w:w="1418" w:type="dxa"/>
          </w:tcPr>
          <w:p w:rsidR="003C6D9C" w:rsidRPr="003C6D9C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C6D9C">
              <w:rPr>
                <w:rFonts w:ascii="Times New Roman" w:hAnsi="Times New Roman"/>
                <w:sz w:val="21"/>
                <w:szCs w:val="21"/>
              </w:rPr>
              <w:t>01</w:t>
            </w:r>
          </w:p>
        </w:tc>
        <w:tc>
          <w:tcPr>
            <w:tcW w:w="3736" w:type="dxa"/>
          </w:tcPr>
          <w:p w:rsidR="003C6D9C" w:rsidRPr="003C6D9C" w:rsidRDefault="003C6D9C" w:rsidP="003C6D9C">
            <w:pPr>
              <w:pStyle w:val="ConsPlusNormal"/>
              <w:widowControl/>
              <w:rPr>
                <w:rFonts w:ascii="Times New Roman" w:eastAsiaTheme="minorEastAsia" w:hAnsi="Times New Roman"/>
                <w:sz w:val="21"/>
                <w:szCs w:val="21"/>
              </w:rPr>
            </w:pPr>
            <w:r w:rsidRPr="003C6D9C">
              <w:rPr>
                <w:rFonts w:ascii="Times New Roman" w:eastAsia="Calibri" w:hAnsi="Times New Roman"/>
                <w:sz w:val="21"/>
                <w:szCs w:val="21"/>
              </w:rPr>
              <w:t>Доля достижения показателей муниципального задания, характеризующих объем оказываемых муниципальных услуг (работ) от установленных показателей муниципального задания, характеризующих объем муниципальных услуг (работ)</w:t>
            </w:r>
          </w:p>
        </w:tc>
        <w:tc>
          <w:tcPr>
            <w:tcW w:w="1418" w:type="dxa"/>
          </w:tcPr>
          <w:p w:rsidR="003C6D9C" w:rsidRPr="003C6D9C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C6D9C"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4537" w:type="dxa"/>
          </w:tcPr>
          <w:p w:rsidR="003C6D9C" w:rsidRPr="003C6D9C" w:rsidRDefault="003C6D9C" w:rsidP="003C6D9C">
            <w:pPr>
              <w:pStyle w:val="ConsPlusNormal"/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spellStart"/>
            <w:r w:rsidRPr="003C6D9C">
              <w:rPr>
                <w:rFonts w:ascii="Times New Roman" w:hAnsi="Times New Roman"/>
                <w:color w:val="000000"/>
                <w:sz w:val="21"/>
                <w:szCs w:val="21"/>
              </w:rPr>
              <w:t>Ддп</w:t>
            </w:r>
            <w:proofErr w:type="spellEnd"/>
            <w:r w:rsidRPr="003C6D9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= </w:t>
            </w:r>
            <w:proofErr w:type="gramStart"/>
            <w:r w:rsidRPr="003C6D9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V</w:t>
            </w:r>
            <w:proofErr w:type="spellStart"/>
            <w:proofErr w:type="gramEnd"/>
            <w:r w:rsidRPr="003C6D9C">
              <w:rPr>
                <w:rFonts w:ascii="Times New Roman" w:hAnsi="Times New Roman"/>
                <w:color w:val="000000"/>
                <w:sz w:val="21"/>
                <w:szCs w:val="21"/>
              </w:rPr>
              <w:t>му</w:t>
            </w:r>
            <w:proofErr w:type="spellEnd"/>
            <w:r w:rsidRPr="003C6D9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/</w:t>
            </w:r>
            <w:r w:rsidRPr="003C6D9C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V</w:t>
            </w:r>
            <w:r w:rsidRPr="003C6D9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об </w:t>
            </w:r>
            <w:proofErr w:type="spellStart"/>
            <w:r w:rsidRPr="003C6D9C">
              <w:rPr>
                <w:rFonts w:ascii="Times New Roman" w:hAnsi="Times New Roman"/>
                <w:color w:val="000000"/>
                <w:sz w:val="21"/>
                <w:szCs w:val="21"/>
              </w:rPr>
              <w:t>х</w:t>
            </w:r>
            <w:proofErr w:type="spellEnd"/>
            <w:r w:rsidRPr="003C6D9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100, где:</w:t>
            </w:r>
            <w:r w:rsidRPr="003C6D9C"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proofErr w:type="spellStart"/>
            <w:r w:rsidRPr="003C6D9C">
              <w:rPr>
                <w:rFonts w:ascii="Times New Roman" w:hAnsi="Times New Roman"/>
                <w:color w:val="000000"/>
                <w:sz w:val="21"/>
                <w:szCs w:val="21"/>
              </w:rPr>
              <w:t>Ддп</w:t>
            </w:r>
            <w:proofErr w:type="spellEnd"/>
            <w:r w:rsidRPr="003C6D9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– доля достижения показателей муниципального задания;</w:t>
            </w:r>
          </w:p>
          <w:p w:rsidR="003C6D9C" w:rsidRPr="003C6D9C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3C6D9C">
              <w:rPr>
                <w:rFonts w:ascii="Times New Roman" w:hAnsi="Times New Roman"/>
                <w:sz w:val="21"/>
                <w:szCs w:val="21"/>
                <w:lang w:val="en-US"/>
              </w:rPr>
              <w:t>V</w:t>
            </w:r>
            <w:proofErr w:type="spellStart"/>
            <w:r w:rsidRPr="003C6D9C">
              <w:rPr>
                <w:rFonts w:ascii="Times New Roman" w:hAnsi="Times New Roman"/>
                <w:sz w:val="21"/>
                <w:szCs w:val="21"/>
              </w:rPr>
              <w:t>му</w:t>
            </w:r>
            <w:proofErr w:type="spellEnd"/>
            <w:r w:rsidRPr="003C6D9C">
              <w:rPr>
                <w:rFonts w:ascii="Times New Roman" w:hAnsi="Times New Roman"/>
                <w:sz w:val="21"/>
                <w:szCs w:val="21"/>
              </w:rPr>
              <w:t xml:space="preserve"> – объем муниципальных услуг (работ) за отчетный период;</w:t>
            </w:r>
          </w:p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3C6D9C">
              <w:rPr>
                <w:rFonts w:ascii="Times New Roman" w:hAnsi="Times New Roman"/>
                <w:sz w:val="21"/>
                <w:szCs w:val="21"/>
                <w:lang w:val="en-US"/>
              </w:rPr>
              <w:t>V</w:t>
            </w:r>
            <w:r w:rsidRPr="003C6D9C">
              <w:rPr>
                <w:rFonts w:ascii="Times New Roman" w:hAnsi="Times New Roman"/>
                <w:sz w:val="21"/>
                <w:szCs w:val="21"/>
              </w:rPr>
              <w:t>об – общий объем муниципальных услуг (работ), установленных муниципальным заданием на год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01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02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eastAsiaTheme="minorEastAsia" w:hAnsi="Times New Roman"/>
                <w:sz w:val="21"/>
                <w:szCs w:val="21"/>
              </w:rPr>
              <w:t>Проведены праздничные и культурно-массовые мероприятия, фестивали, конкурсы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ед.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 xml:space="preserve">Общее количество </w:t>
            </w:r>
            <w:r w:rsidRPr="00684662">
              <w:rPr>
                <w:rFonts w:ascii="Times New Roman" w:eastAsiaTheme="minorEastAsia" w:hAnsi="Times New Roman"/>
                <w:sz w:val="21"/>
                <w:szCs w:val="21"/>
              </w:rPr>
              <w:t>праздничных и культурно-массовых мероприятий, фестивалей, конкурсов, в которых принимали участие муниципальные учреждения культуры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02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02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widowControl/>
              <w:rPr>
                <w:rFonts w:ascii="Times New Roman" w:eastAsiaTheme="minorEastAsia" w:hAnsi="Times New Roman"/>
                <w:sz w:val="21"/>
                <w:szCs w:val="21"/>
              </w:rPr>
            </w:pPr>
            <w:r w:rsidRPr="00684662">
              <w:rPr>
                <w:rFonts w:ascii="Times New Roman" w:eastAsiaTheme="minorEastAsia" w:hAnsi="Times New Roman"/>
                <w:sz w:val="21"/>
                <w:szCs w:val="21"/>
              </w:rPr>
              <w:t>Предоставлена стипендия главы муниципального образования Московской области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чел.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Общее количество выдающихся деятелей культуры, искусства и молодых авторов, которым предоставлена стипендия главы муниципального образования Московской области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10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04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01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widowControl/>
              <w:rPr>
                <w:rFonts w:ascii="Times New Roman" w:eastAsiaTheme="minorEastAsia" w:hAnsi="Times New Roman"/>
                <w:sz w:val="21"/>
                <w:szCs w:val="21"/>
              </w:rPr>
            </w:pPr>
            <w:r w:rsidRPr="00684662">
              <w:rPr>
                <w:rFonts w:ascii="Times New Roman" w:eastAsia="Calibri" w:hAnsi="Times New Roman"/>
                <w:sz w:val="21"/>
                <w:szCs w:val="21"/>
              </w:rPr>
              <w:t>Доля достижения показателей муниципального задания, характеризующих объем оказываемых муниципальных услуг (работ) от установленных показателей муниципального задания, характеризующих объем муниципальных услуг (работ)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spellStart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Ддп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= </w:t>
            </w:r>
            <w:proofErr w:type="gramStart"/>
            <w:r w:rsidRPr="00684662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V</w:t>
            </w:r>
            <w:proofErr w:type="spellStart"/>
            <w:proofErr w:type="gram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му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/</w:t>
            </w:r>
            <w:r w:rsidRPr="00684662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V</w:t>
            </w:r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об </w:t>
            </w:r>
            <w:proofErr w:type="spellStart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х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100, где:</w:t>
            </w:r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proofErr w:type="spellStart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Ддп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– доля достижения показателей муниципального задания;</w:t>
            </w:r>
          </w:p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  <w:lang w:val="en-US"/>
              </w:rPr>
              <w:t>V</w:t>
            </w:r>
            <w:proofErr w:type="spellStart"/>
            <w:r w:rsidRPr="00684662">
              <w:rPr>
                <w:rFonts w:ascii="Times New Roman" w:hAnsi="Times New Roman"/>
                <w:sz w:val="21"/>
                <w:szCs w:val="21"/>
              </w:rPr>
              <w:t>му</w:t>
            </w:r>
            <w:proofErr w:type="spellEnd"/>
            <w:r w:rsidRPr="00684662">
              <w:rPr>
                <w:rFonts w:ascii="Times New Roman" w:hAnsi="Times New Roman"/>
                <w:sz w:val="21"/>
                <w:szCs w:val="21"/>
              </w:rPr>
              <w:t xml:space="preserve"> – объем муниципальных услуг (работ) за отчетный период;</w:t>
            </w:r>
          </w:p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  <w:lang w:val="en-US"/>
              </w:rPr>
              <w:t>V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об – общий объем муниципальных услуг (работ), установленных муниципальным заданием на год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04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02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widowControl/>
              <w:rPr>
                <w:rFonts w:ascii="Times New Roman" w:eastAsia="Calibri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Число посещений культурных </w:t>
            </w:r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мероприятий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lastRenderedPageBreak/>
              <w:t>тыс.ед.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Общее число посещений культурных </w:t>
            </w:r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 xml:space="preserve">мероприятий муниципальных музеев, библиотек, учреждений </w:t>
            </w:r>
            <w:proofErr w:type="spellStart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культурно-досугового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типа, детских школ искусств по видам искусств, а также число обращений к цифровым ресурсам в сфере культуры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3C6D9C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C6D9C">
              <w:rPr>
                <w:rFonts w:ascii="Times New Roman" w:hAnsi="Times New Roman"/>
                <w:sz w:val="21"/>
                <w:szCs w:val="21"/>
              </w:rPr>
              <w:lastRenderedPageBreak/>
              <w:t>12.</w:t>
            </w:r>
          </w:p>
        </w:tc>
        <w:tc>
          <w:tcPr>
            <w:tcW w:w="1367" w:type="dxa"/>
          </w:tcPr>
          <w:p w:rsidR="003C6D9C" w:rsidRPr="003C6D9C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C6D9C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417" w:type="dxa"/>
          </w:tcPr>
          <w:p w:rsidR="003C6D9C" w:rsidRPr="003C6D9C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C6D9C">
              <w:rPr>
                <w:rFonts w:ascii="Times New Roman" w:hAnsi="Times New Roman"/>
                <w:sz w:val="21"/>
                <w:szCs w:val="21"/>
              </w:rPr>
              <w:t>05</w:t>
            </w:r>
          </w:p>
        </w:tc>
        <w:tc>
          <w:tcPr>
            <w:tcW w:w="1418" w:type="dxa"/>
          </w:tcPr>
          <w:p w:rsidR="003C6D9C" w:rsidRPr="003C6D9C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C6D9C">
              <w:rPr>
                <w:rFonts w:ascii="Times New Roman" w:hAnsi="Times New Roman"/>
                <w:sz w:val="21"/>
                <w:szCs w:val="21"/>
              </w:rPr>
              <w:t>05</w:t>
            </w:r>
          </w:p>
        </w:tc>
        <w:tc>
          <w:tcPr>
            <w:tcW w:w="3736" w:type="dxa"/>
          </w:tcPr>
          <w:p w:rsidR="003C6D9C" w:rsidRPr="003C6D9C" w:rsidRDefault="003C6D9C" w:rsidP="003C6D9C">
            <w:pPr>
              <w:pStyle w:val="ConsPlusNormal"/>
              <w:widowControl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C6D9C">
              <w:rPr>
                <w:rFonts w:ascii="Times New Roman" w:eastAsiaTheme="minorEastAsia" w:hAnsi="Times New Roman"/>
                <w:sz w:val="21"/>
                <w:szCs w:val="21"/>
              </w:rPr>
              <w:t>Выполнены работы по обеспечению пожарной безопасности муниципальных театрально-концертных организаций и учреждений культуры, осуществляющих демонстрацию кинофильмов, кинопрокат, (ед.)</w:t>
            </w:r>
          </w:p>
        </w:tc>
        <w:tc>
          <w:tcPr>
            <w:tcW w:w="1418" w:type="dxa"/>
          </w:tcPr>
          <w:p w:rsidR="003C6D9C" w:rsidRPr="003C6D9C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3C6D9C">
              <w:rPr>
                <w:rFonts w:ascii="Times New Roman" w:hAnsi="Times New Roman"/>
                <w:sz w:val="21"/>
                <w:szCs w:val="21"/>
              </w:rPr>
              <w:t>ед.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C6D9C">
              <w:rPr>
                <w:rFonts w:ascii="Times New Roman" w:hAnsi="Times New Roman"/>
                <w:sz w:val="21"/>
                <w:szCs w:val="21"/>
              </w:rPr>
              <w:t>Общее количество муниципальных театрально-концертных организаций и учреждений культуры, в которых выполнены работы по обеспечению пожарной безопасности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05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06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widowControl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684662">
              <w:rPr>
                <w:rFonts w:ascii="Times New Roman" w:eastAsiaTheme="minorEastAsia" w:hAnsi="Times New Roman"/>
                <w:sz w:val="21"/>
                <w:szCs w:val="21"/>
              </w:rPr>
              <w:t>Выполнены работы по обеспечению пожарной безопасности муниципальных театрально-концертных организаций и учреждений культуры, осуществляющих демонстрацию кинофильмов, кинопрокат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ед.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Общее количество муниципальных театрально-концертных организаций и учреждений культуры, в которых выполнены работы по обеспечению пожарной безопасности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14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06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01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widowControl/>
              <w:rPr>
                <w:rFonts w:ascii="Times New Roman" w:eastAsiaTheme="minorEastAsia" w:hAnsi="Times New Roman"/>
                <w:sz w:val="21"/>
                <w:szCs w:val="21"/>
              </w:rPr>
            </w:pPr>
            <w:r w:rsidRPr="00684662">
              <w:rPr>
                <w:rFonts w:ascii="Times New Roman" w:eastAsia="Calibri" w:hAnsi="Times New Roman"/>
                <w:sz w:val="21"/>
                <w:szCs w:val="21"/>
              </w:rPr>
              <w:t>Доля достижения показателей муниципального задания, характеризующих объем оказываемых муниципальных услуг (работ) от установленных показателей муниципального задания, характеризующих объем муниципальных услуг (работ)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%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spellStart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Ддп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= </w:t>
            </w:r>
            <w:proofErr w:type="gramStart"/>
            <w:r w:rsidRPr="00684662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V</w:t>
            </w:r>
            <w:proofErr w:type="spellStart"/>
            <w:proofErr w:type="gram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му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/</w:t>
            </w:r>
            <w:r w:rsidRPr="00684662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V</w:t>
            </w:r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об </w:t>
            </w:r>
            <w:proofErr w:type="spellStart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х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100, где:</w:t>
            </w:r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proofErr w:type="spellStart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Ддп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– доля достижения показателей муниципального задания;</w:t>
            </w:r>
          </w:p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  <w:lang w:val="en-US"/>
              </w:rPr>
              <w:t>V</w:t>
            </w:r>
            <w:proofErr w:type="spellStart"/>
            <w:r w:rsidRPr="00684662">
              <w:rPr>
                <w:rFonts w:ascii="Times New Roman" w:hAnsi="Times New Roman"/>
                <w:sz w:val="21"/>
                <w:szCs w:val="21"/>
              </w:rPr>
              <w:t>му</w:t>
            </w:r>
            <w:proofErr w:type="spellEnd"/>
            <w:r w:rsidRPr="00684662">
              <w:rPr>
                <w:rFonts w:ascii="Times New Roman" w:hAnsi="Times New Roman"/>
                <w:sz w:val="21"/>
                <w:szCs w:val="21"/>
              </w:rPr>
              <w:t xml:space="preserve"> – объем муниципальных услуг (работ) за отчетный период;</w:t>
            </w:r>
          </w:p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  <w:lang w:val="en-US"/>
              </w:rPr>
              <w:t>V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об – общий объем муниципальных услуг (работ), установленных муниципальным заданием на год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15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06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02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widowControl/>
              <w:rPr>
                <w:rFonts w:ascii="Times New Roman" w:eastAsia="Calibri" w:hAnsi="Times New Roman"/>
                <w:sz w:val="21"/>
                <w:szCs w:val="21"/>
              </w:rPr>
            </w:pPr>
            <w:r w:rsidRPr="00684662">
              <w:rPr>
                <w:rFonts w:ascii="Times New Roman" w:eastAsiaTheme="minorEastAsia" w:hAnsi="Times New Roman"/>
                <w:sz w:val="21"/>
                <w:szCs w:val="21"/>
              </w:rPr>
              <w:t>Проведены праздничные и культурно-массовые мероприятия, фестивали, конкурсы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ед.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 xml:space="preserve">Общее количество </w:t>
            </w:r>
            <w:r w:rsidRPr="00684662">
              <w:rPr>
                <w:rFonts w:ascii="Times New Roman" w:eastAsiaTheme="minorEastAsia" w:hAnsi="Times New Roman"/>
                <w:sz w:val="21"/>
                <w:szCs w:val="21"/>
              </w:rPr>
              <w:t>праздничных и культурно-массовых мероприятий, фестивалей, конкурсов, проведенных в муниципальных парках культуры и отдыха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16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01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01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widowControl/>
              <w:rPr>
                <w:rFonts w:ascii="Times New Roman" w:eastAsiaTheme="minorEastAsia" w:hAnsi="Times New Roman"/>
                <w:sz w:val="21"/>
                <w:szCs w:val="21"/>
              </w:rPr>
            </w:pPr>
            <w:r w:rsidRPr="00684662">
              <w:rPr>
                <w:rFonts w:ascii="Times New Roman" w:eastAsiaTheme="minorEastAsia" w:hAnsi="Times New Roman"/>
                <w:sz w:val="21"/>
                <w:szCs w:val="21"/>
              </w:rPr>
              <w:t xml:space="preserve">Оборудованы в соответствии с требованиями доступности для инвалидов и других </w:t>
            </w:r>
            <w:proofErr w:type="spellStart"/>
            <w:r w:rsidRPr="00684662">
              <w:rPr>
                <w:rFonts w:ascii="Times New Roman" w:eastAsiaTheme="minorEastAsia" w:hAnsi="Times New Roman"/>
                <w:sz w:val="21"/>
                <w:szCs w:val="21"/>
              </w:rPr>
              <w:t>маломобильных</w:t>
            </w:r>
            <w:proofErr w:type="spellEnd"/>
            <w:r w:rsidRPr="00684662">
              <w:rPr>
                <w:rFonts w:ascii="Times New Roman" w:eastAsiaTheme="minorEastAsia" w:hAnsi="Times New Roman"/>
                <w:sz w:val="21"/>
                <w:szCs w:val="21"/>
              </w:rPr>
              <w:t xml:space="preserve"> групп населения объекты организаций культуры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ед.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 xml:space="preserve">Общее количество объектов организаций культуры, которые оборудованы в </w:t>
            </w:r>
            <w:r w:rsidRPr="00684662">
              <w:rPr>
                <w:rFonts w:ascii="Times New Roman" w:eastAsiaTheme="minorEastAsia" w:hAnsi="Times New Roman"/>
                <w:sz w:val="21"/>
                <w:szCs w:val="21"/>
              </w:rPr>
              <w:t xml:space="preserve">соответствии с требованиями доступности для инвалидов и других </w:t>
            </w:r>
            <w:proofErr w:type="spellStart"/>
            <w:r w:rsidRPr="00684662">
              <w:rPr>
                <w:rFonts w:ascii="Times New Roman" w:eastAsiaTheme="minorEastAsia" w:hAnsi="Times New Roman"/>
                <w:sz w:val="21"/>
                <w:szCs w:val="21"/>
              </w:rPr>
              <w:t>маломобильных</w:t>
            </w:r>
            <w:proofErr w:type="spellEnd"/>
            <w:r w:rsidRPr="00684662">
              <w:rPr>
                <w:rFonts w:ascii="Times New Roman" w:eastAsiaTheme="minorEastAsia" w:hAnsi="Times New Roman"/>
                <w:sz w:val="21"/>
                <w:szCs w:val="21"/>
              </w:rPr>
              <w:t xml:space="preserve"> групп населения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17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01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01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widowControl/>
              <w:rPr>
                <w:rFonts w:ascii="Times New Roman" w:eastAsiaTheme="minorEastAsia" w:hAnsi="Times New Roman"/>
                <w:sz w:val="21"/>
                <w:szCs w:val="21"/>
              </w:rPr>
            </w:pPr>
            <w:r w:rsidRPr="00684662">
              <w:rPr>
                <w:rFonts w:ascii="Times New Roman" w:eastAsia="Calibri" w:hAnsi="Times New Roman"/>
                <w:sz w:val="21"/>
                <w:szCs w:val="21"/>
              </w:rPr>
              <w:t xml:space="preserve">Доля достижения показателей муниципального задания, </w:t>
            </w:r>
            <w:r w:rsidRPr="00684662">
              <w:rPr>
                <w:rFonts w:ascii="Times New Roman" w:eastAsia="Calibri" w:hAnsi="Times New Roman"/>
                <w:sz w:val="21"/>
                <w:szCs w:val="21"/>
              </w:rPr>
              <w:lastRenderedPageBreak/>
              <w:t>характеризующих объем оказываемых муниципальных услуг (работ) от установленных показателей муниципального задания, характеризующих объем муниципальных услуг (работ)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lastRenderedPageBreak/>
              <w:t>%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spellStart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Ддп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= </w:t>
            </w:r>
            <w:proofErr w:type="gramStart"/>
            <w:r w:rsidRPr="00684662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V</w:t>
            </w:r>
            <w:proofErr w:type="spellStart"/>
            <w:proofErr w:type="gram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му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/</w:t>
            </w:r>
            <w:r w:rsidRPr="00684662"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  <w:t>V</w:t>
            </w:r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об </w:t>
            </w:r>
            <w:proofErr w:type="spellStart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х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100, где:</w:t>
            </w:r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br/>
            </w:r>
            <w:proofErr w:type="spellStart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Ддп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– доля достижения показателей </w:t>
            </w:r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муниципального задания;</w:t>
            </w:r>
          </w:p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  <w:lang w:val="en-US"/>
              </w:rPr>
              <w:t>V</w:t>
            </w:r>
            <w:proofErr w:type="spellStart"/>
            <w:r w:rsidRPr="00684662">
              <w:rPr>
                <w:rFonts w:ascii="Times New Roman" w:hAnsi="Times New Roman"/>
                <w:sz w:val="21"/>
                <w:szCs w:val="21"/>
              </w:rPr>
              <w:t>му</w:t>
            </w:r>
            <w:proofErr w:type="spellEnd"/>
            <w:r w:rsidRPr="00684662">
              <w:rPr>
                <w:rFonts w:ascii="Times New Roman" w:hAnsi="Times New Roman"/>
                <w:sz w:val="21"/>
                <w:szCs w:val="21"/>
              </w:rPr>
              <w:t xml:space="preserve"> – объем муниципальных услуг (работ) за отчетный период;</w:t>
            </w:r>
          </w:p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  <w:lang w:val="en-US"/>
              </w:rPr>
              <w:t>V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об – общий объем муниципальных услуг (работ), установленных муниципальным заданием на год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18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А</w:t>
            </w:r>
            <w:proofErr w:type="gramStart"/>
            <w:r w:rsidRPr="00684662">
              <w:rPr>
                <w:rFonts w:ascii="Times New Roman" w:hAnsi="Times New Roman"/>
                <w:sz w:val="21"/>
                <w:szCs w:val="21"/>
              </w:rPr>
              <w:t>1</w:t>
            </w:r>
            <w:proofErr w:type="gramEnd"/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02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widowControl/>
              <w:rPr>
                <w:rFonts w:ascii="Times New Roman" w:eastAsia="Calibri" w:hAnsi="Times New Roman"/>
                <w:sz w:val="21"/>
                <w:szCs w:val="21"/>
              </w:rPr>
            </w:pPr>
            <w:r w:rsidRPr="00684662">
              <w:rPr>
                <w:rFonts w:ascii="Times New Roman" w:eastAsiaTheme="minorEastAsia" w:hAnsi="Times New Roman"/>
                <w:sz w:val="21"/>
                <w:szCs w:val="21"/>
              </w:rPr>
              <w:t>Оснащены муниципальные организации дополнительного образования в сфере культуры (детские школы искусств по видам искусств) музыкальными инструментами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ед.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 xml:space="preserve">Общее количество </w:t>
            </w:r>
            <w:r w:rsidRPr="00684662">
              <w:rPr>
                <w:rFonts w:ascii="Times New Roman" w:eastAsiaTheme="minorEastAsia" w:hAnsi="Times New Roman"/>
                <w:sz w:val="21"/>
                <w:szCs w:val="21"/>
              </w:rPr>
              <w:t>муниципальных организаций дополнительного образования в сфере культуры (детские школы искусств по видам искусств), которые оборудованы музыкальными инструментами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19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04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01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widowControl/>
              <w:rPr>
                <w:rFonts w:ascii="Times New Roman" w:eastAsiaTheme="minorEastAsia" w:hAnsi="Times New Roman"/>
                <w:sz w:val="21"/>
                <w:szCs w:val="21"/>
              </w:rPr>
            </w:pPr>
            <w:r w:rsidRPr="00684662">
              <w:rPr>
                <w:rFonts w:ascii="Times New Roman" w:eastAsiaTheme="minorEastAsia" w:hAnsi="Times New Roman"/>
                <w:sz w:val="21"/>
                <w:szCs w:val="21"/>
              </w:rPr>
              <w:t>Завершены работы по обеспечению пожарной безопасности в профессиональных образовательных организациях сферы культуры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ед.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Общее количество образовательных организаций сферы культуры, в которых выполнены работы по обеспечению пожарной безопасности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01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01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widowControl/>
              <w:rPr>
                <w:rFonts w:ascii="Times New Roman" w:eastAsiaTheme="minorEastAsia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Объем туристского и экскурсионного потока в Городском округе Пушкинский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тыс</w:t>
            </w:r>
            <w:proofErr w:type="gramStart"/>
            <w:r w:rsidRPr="00684662">
              <w:rPr>
                <w:rFonts w:ascii="Times New Roman" w:hAnsi="Times New Roman"/>
                <w:sz w:val="21"/>
                <w:szCs w:val="21"/>
              </w:rPr>
              <w:t>.ч</w:t>
            </w:r>
            <w:proofErr w:type="gramEnd"/>
            <w:r w:rsidRPr="00684662">
              <w:rPr>
                <w:rFonts w:ascii="Times New Roman" w:hAnsi="Times New Roman"/>
                <w:sz w:val="21"/>
                <w:szCs w:val="21"/>
              </w:rPr>
              <w:t>ел.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 xml:space="preserve">ТЭП = </w:t>
            </w:r>
            <w:proofErr w:type="spellStart"/>
            <w:r w:rsidRPr="00684662">
              <w:rPr>
                <w:rFonts w:ascii="Times New Roman" w:hAnsi="Times New Roman"/>
                <w:sz w:val="21"/>
                <w:szCs w:val="21"/>
              </w:rPr>
              <w:t>Ткср</w:t>
            </w:r>
            <w:proofErr w:type="gramStart"/>
            <w:r w:rsidRPr="00684662">
              <w:rPr>
                <w:rFonts w:ascii="Times New Roman" w:hAnsi="Times New Roman"/>
                <w:sz w:val="21"/>
                <w:szCs w:val="21"/>
              </w:rPr>
              <w:t>+Э</w:t>
            </w:r>
            <w:proofErr w:type="spellEnd"/>
            <w:proofErr w:type="gramEnd"/>
            <w:r w:rsidRPr="00684662">
              <w:rPr>
                <w:rFonts w:ascii="Times New Roman" w:hAnsi="Times New Roman"/>
                <w:sz w:val="21"/>
                <w:szCs w:val="21"/>
              </w:rPr>
              <w:t>, где:</w:t>
            </w:r>
          </w:p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ТЭП - объем туристского и экскурсионного потока;</w:t>
            </w:r>
          </w:p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684662">
              <w:rPr>
                <w:rFonts w:ascii="Times New Roman" w:hAnsi="Times New Roman"/>
                <w:sz w:val="21"/>
                <w:szCs w:val="21"/>
              </w:rPr>
              <w:t>Ткср</w:t>
            </w:r>
            <w:proofErr w:type="spellEnd"/>
            <w:r w:rsidRPr="00684662">
              <w:rPr>
                <w:rFonts w:ascii="Times New Roman" w:hAnsi="Times New Roman"/>
                <w:sz w:val="21"/>
                <w:szCs w:val="21"/>
              </w:rPr>
              <w:t xml:space="preserve"> - число туристов, размещенных в коллективных средствах размещения;</w:t>
            </w:r>
          </w:p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Э - число посетителей-экскурсантов туристических точек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21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01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02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Обеспечено хранение, комплектование, учет и использование архивных документов, относящихся к муниципальной собственности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единица хранения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  <w:lang w:val="en-US"/>
              </w:rPr>
              <w:t>V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 xml:space="preserve">  = </w:t>
            </w:r>
            <w:r w:rsidRPr="00684662">
              <w:rPr>
                <w:rFonts w:ascii="Times New Roman" w:hAnsi="Times New Roman"/>
                <w:sz w:val="21"/>
                <w:szCs w:val="21"/>
                <w:lang w:val="en-US"/>
              </w:rPr>
              <w:t>V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м + ∑соф, где:</w:t>
            </w:r>
          </w:p>
          <w:p w:rsidR="003C6D9C" w:rsidRPr="00684662" w:rsidRDefault="003C6D9C" w:rsidP="003C6D9C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  <w:lang w:val="en-US"/>
              </w:rPr>
              <w:t>V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 xml:space="preserve"> – количество архивных документов, находящихся на хранении в муниципальном архиве Московской области, относящиеся к муниципальной собственности;</w:t>
            </w:r>
          </w:p>
          <w:p w:rsidR="003C6D9C" w:rsidRPr="00684662" w:rsidRDefault="003C6D9C" w:rsidP="003C6D9C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  <w:lang w:val="en-US"/>
              </w:rPr>
              <w:t>V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м - количество архивных документов муниципального архива Московской области, относящихся к муниципальной собственности, на начало отчетного года;</w:t>
            </w:r>
          </w:p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∑соф – количество архивных документов, относящихся к муниципальной собственности, на которое произошло изменение в составе и объеме фондов за отчетный период (прием на хранение, переработка описей дел, обнаружение, устранение технических ошибок в учете и др.)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22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01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03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 xml:space="preserve">Оцифровано архивных документов за </w:t>
            </w:r>
            <w:r w:rsidRPr="00684662">
              <w:rPr>
                <w:rFonts w:ascii="Times New Roman" w:hAnsi="Times New Roman"/>
                <w:sz w:val="21"/>
                <w:szCs w:val="21"/>
              </w:rPr>
              <w:lastRenderedPageBreak/>
              <w:t>отчетный период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единиц </w:t>
            </w:r>
            <w:r w:rsidRPr="00684662">
              <w:rPr>
                <w:rFonts w:ascii="Times New Roman" w:hAnsi="Times New Roman"/>
                <w:sz w:val="21"/>
                <w:szCs w:val="21"/>
              </w:rPr>
              <w:lastRenderedPageBreak/>
              <w:t>хранения/страниц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Количество оцифрованных за отчетный период </w:t>
            </w:r>
            <w:r w:rsidRPr="00684662">
              <w:rPr>
                <w:rFonts w:ascii="Times New Roman" w:hAnsi="Times New Roman"/>
                <w:sz w:val="21"/>
                <w:szCs w:val="21"/>
              </w:rPr>
              <w:lastRenderedPageBreak/>
              <w:t>единиц хранения и страниц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23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02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01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Обеспечено хранение, комплектование, учет и использование архивных документов, относящихся к собственности Московской области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единица хранения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  <w:lang w:val="en-US"/>
              </w:rPr>
              <w:t>V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 xml:space="preserve">мо  = </w:t>
            </w:r>
            <w:r w:rsidRPr="00684662">
              <w:rPr>
                <w:rFonts w:ascii="Times New Roman" w:hAnsi="Times New Roman"/>
                <w:sz w:val="21"/>
                <w:szCs w:val="21"/>
                <w:lang w:val="en-US"/>
              </w:rPr>
              <w:t>V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см + ∑соф, где:</w:t>
            </w:r>
          </w:p>
          <w:p w:rsidR="003C6D9C" w:rsidRPr="00684662" w:rsidRDefault="003C6D9C" w:rsidP="003C6D9C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  <w:lang w:val="en-US"/>
              </w:rPr>
              <w:t>V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мо – количество архивных документов, находящихся на хранении в муниципальном архиве Московской области, относящиеся к собственности Московской области;</w:t>
            </w:r>
          </w:p>
          <w:p w:rsidR="003C6D9C" w:rsidRPr="00684662" w:rsidRDefault="003C6D9C" w:rsidP="003C6D9C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  <w:lang w:val="en-US"/>
              </w:rPr>
              <w:t>V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см - количество архивных документов муниципального архива Московской области, относящихся к собственности Московской области, на начало отчетного года;</w:t>
            </w:r>
          </w:p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∑соф – количество архивных документов, относящихся к собственности Московской области, на которое произошло изменение в составе и объеме фондов за отчетный период (прием на хранение, переработка описей дел, обнаружение, устранение технических ошибок в учете и др.)</w:t>
            </w:r>
          </w:p>
        </w:tc>
      </w:tr>
      <w:tr w:rsidR="003C6D9C" w:rsidRPr="00684662" w:rsidTr="003C6D9C">
        <w:tc>
          <w:tcPr>
            <w:tcW w:w="8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24</w:t>
            </w:r>
            <w:r w:rsidRPr="00684662">
              <w:rPr>
                <w:rFonts w:ascii="Times New Roman" w:hAnsi="Times New Roman"/>
                <w:sz w:val="21"/>
                <w:szCs w:val="21"/>
              </w:rPr>
              <w:t>.</w:t>
            </w:r>
          </w:p>
        </w:tc>
        <w:tc>
          <w:tcPr>
            <w:tcW w:w="136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1417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02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02</w:t>
            </w:r>
          </w:p>
        </w:tc>
        <w:tc>
          <w:tcPr>
            <w:tcW w:w="3736" w:type="dxa"/>
          </w:tcPr>
          <w:p w:rsidR="003C6D9C" w:rsidRPr="00684662" w:rsidRDefault="003C6D9C" w:rsidP="003C6D9C">
            <w:pPr>
              <w:pStyle w:val="ConsPlusNormal"/>
              <w:widowControl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Проведен капитальный (текущий) ремонт и/или техническое переоснащение помещений, выделенных для хранения архивных документов, относящихся к собственности Московской области</w:t>
            </w:r>
          </w:p>
        </w:tc>
        <w:tc>
          <w:tcPr>
            <w:tcW w:w="1418" w:type="dxa"/>
          </w:tcPr>
          <w:p w:rsidR="003C6D9C" w:rsidRPr="00684662" w:rsidRDefault="003C6D9C" w:rsidP="003C6D9C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84662">
              <w:rPr>
                <w:rFonts w:ascii="Times New Roman" w:hAnsi="Times New Roman"/>
                <w:sz w:val="21"/>
                <w:szCs w:val="21"/>
              </w:rPr>
              <w:t>ед.</w:t>
            </w:r>
          </w:p>
        </w:tc>
        <w:tc>
          <w:tcPr>
            <w:tcW w:w="4537" w:type="dxa"/>
          </w:tcPr>
          <w:p w:rsidR="003C6D9C" w:rsidRPr="00684662" w:rsidRDefault="003C6D9C" w:rsidP="003C6D9C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spellStart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К=Кф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/</w:t>
            </w:r>
            <w:proofErr w:type="spellStart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Кп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, где:</w:t>
            </w:r>
          </w:p>
          <w:p w:rsidR="003C6D9C" w:rsidRPr="00684662" w:rsidRDefault="003C6D9C" w:rsidP="003C6D9C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gramStart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К</w:t>
            </w:r>
            <w:proofErr w:type="gram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- </w:t>
            </w:r>
            <w:proofErr w:type="gramStart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количество</w:t>
            </w:r>
            <w:proofErr w:type="gram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помещений, выделенных для хранения архивных документов, относящихся к собственности Московской области, на которых проведены работы по капитальному (текущему) ремонту и техническому переоснащению;</w:t>
            </w:r>
          </w:p>
          <w:p w:rsidR="003C6D9C" w:rsidRPr="00684662" w:rsidRDefault="003C6D9C" w:rsidP="003C6D9C">
            <w:pPr>
              <w:spacing w:after="0" w:line="240" w:lineRule="auto"/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spellStart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Кф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– количество помещений, выделенных для хранения архивных документов, относящихся к собственности Московской области, на которых проведены работы по капитальному (текущему) ремонту и техническому переоснащению в текущем году;</w:t>
            </w:r>
          </w:p>
          <w:p w:rsidR="003C6D9C" w:rsidRPr="00684662" w:rsidRDefault="003C6D9C" w:rsidP="003C6D9C">
            <w:pPr>
              <w:pStyle w:val="ConsPlusNormal"/>
              <w:rPr>
                <w:rFonts w:ascii="Times New Roman" w:hAnsi="Times New Roman"/>
                <w:sz w:val="21"/>
                <w:szCs w:val="21"/>
              </w:rPr>
            </w:pPr>
            <w:proofErr w:type="spellStart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>Кп</w:t>
            </w:r>
            <w:proofErr w:type="spellEnd"/>
            <w:r w:rsidRPr="00684662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- количество помещений, выделенных для хранения архивных документов, относящихся к собственности Московской области, на которых предусмотрено проведение работ по капитальному (текущему) ремонту и техническому переоснащению</w:t>
            </w:r>
          </w:p>
        </w:tc>
      </w:tr>
    </w:tbl>
    <w:p w:rsidR="003C6D9C" w:rsidRPr="003C6D9C" w:rsidRDefault="003C6D9C" w:rsidP="00B023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18"/>
          <w:szCs w:val="18"/>
        </w:rPr>
      </w:pPr>
    </w:p>
    <w:p w:rsidR="002078C1" w:rsidRPr="00B02381" w:rsidRDefault="00B02381" w:rsidP="00B023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02381">
        <w:rPr>
          <w:rFonts w:ascii="Times New Roman" w:hAnsi="Times New Roman"/>
          <w:sz w:val="28"/>
          <w:szCs w:val="28"/>
        </w:rPr>
        <w:t>».</w:t>
      </w:r>
    </w:p>
    <w:sectPr w:rsidR="002078C1" w:rsidRPr="00B02381" w:rsidSect="00FA31CF">
      <w:headerReference w:type="default" r:id="rId6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787C" w:rsidRDefault="002D787C" w:rsidP="0031340D">
      <w:pPr>
        <w:spacing w:after="0" w:line="240" w:lineRule="auto"/>
      </w:pPr>
      <w:r>
        <w:separator/>
      </w:r>
    </w:p>
  </w:endnote>
  <w:endnote w:type="continuationSeparator" w:id="0">
    <w:p w:rsidR="002D787C" w:rsidRDefault="002D787C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787C" w:rsidRDefault="002D787C" w:rsidP="0031340D">
      <w:pPr>
        <w:spacing w:after="0" w:line="240" w:lineRule="auto"/>
      </w:pPr>
      <w:r>
        <w:separator/>
      </w:r>
    </w:p>
  </w:footnote>
  <w:footnote w:type="continuationSeparator" w:id="0">
    <w:p w:rsidR="002D787C" w:rsidRDefault="002D787C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8A5D25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C6D9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15E85"/>
    <w:rsid w:val="00026278"/>
    <w:rsid w:val="00027D36"/>
    <w:rsid w:val="00031801"/>
    <w:rsid w:val="00034BB2"/>
    <w:rsid w:val="0005421F"/>
    <w:rsid w:val="000543C6"/>
    <w:rsid w:val="00054FC4"/>
    <w:rsid w:val="00070002"/>
    <w:rsid w:val="00070AF8"/>
    <w:rsid w:val="00092E40"/>
    <w:rsid w:val="000B0D03"/>
    <w:rsid w:val="000B1D31"/>
    <w:rsid w:val="000C1C49"/>
    <w:rsid w:val="000C7135"/>
    <w:rsid w:val="000C7433"/>
    <w:rsid w:val="000E5701"/>
    <w:rsid w:val="0010087B"/>
    <w:rsid w:val="00101622"/>
    <w:rsid w:val="00104639"/>
    <w:rsid w:val="0010618C"/>
    <w:rsid w:val="00106745"/>
    <w:rsid w:val="00110934"/>
    <w:rsid w:val="00113008"/>
    <w:rsid w:val="0011434E"/>
    <w:rsid w:val="00116F2C"/>
    <w:rsid w:val="001250DD"/>
    <w:rsid w:val="0013753E"/>
    <w:rsid w:val="00142AD3"/>
    <w:rsid w:val="001438CA"/>
    <w:rsid w:val="0015009E"/>
    <w:rsid w:val="00157121"/>
    <w:rsid w:val="00157977"/>
    <w:rsid w:val="00164921"/>
    <w:rsid w:val="00164F7F"/>
    <w:rsid w:val="00170FB7"/>
    <w:rsid w:val="001756B8"/>
    <w:rsid w:val="001942BA"/>
    <w:rsid w:val="001A296E"/>
    <w:rsid w:val="001A4218"/>
    <w:rsid w:val="001B0658"/>
    <w:rsid w:val="001B5DDC"/>
    <w:rsid w:val="001B6AFE"/>
    <w:rsid w:val="001C06F0"/>
    <w:rsid w:val="001C16B4"/>
    <w:rsid w:val="001C2367"/>
    <w:rsid w:val="001C567D"/>
    <w:rsid w:val="001C6E22"/>
    <w:rsid w:val="001F078C"/>
    <w:rsid w:val="002042EA"/>
    <w:rsid w:val="002078C1"/>
    <w:rsid w:val="002141F4"/>
    <w:rsid w:val="00227363"/>
    <w:rsid w:val="0023223B"/>
    <w:rsid w:val="00235FD6"/>
    <w:rsid w:val="00241739"/>
    <w:rsid w:val="00241922"/>
    <w:rsid w:val="00245423"/>
    <w:rsid w:val="002474D0"/>
    <w:rsid w:val="0026064A"/>
    <w:rsid w:val="00261BA5"/>
    <w:rsid w:val="00273D09"/>
    <w:rsid w:val="002742B4"/>
    <w:rsid w:val="002774D2"/>
    <w:rsid w:val="00277603"/>
    <w:rsid w:val="00284156"/>
    <w:rsid w:val="002A510C"/>
    <w:rsid w:val="002B6D33"/>
    <w:rsid w:val="002B7BF2"/>
    <w:rsid w:val="002C15FE"/>
    <w:rsid w:val="002C25B6"/>
    <w:rsid w:val="002C474C"/>
    <w:rsid w:val="002C5F80"/>
    <w:rsid w:val="002D787C"/>
    <w:rsid w:val="002E05FC"/>
    <w:rsid w:val="002E1E08"/>
    <w:rsid w:val="002F3B93"/>
    <w:rsid w:val="002F796D"/>
    <w:rsid w:val="003004FB"/>
    <w:rsid w:val="0031340D"/>
    <w:rsid w:val="00316324"/>
    <w:rsid w:val="00316665"/>
    <w:rsid w:val="00327F2E"/>
    <w:rsid w:val="00347B65"/>
    <w:rsid w:val="00351639"/>
    <w:rsid w:val="0035195A"/>
    <w:rsid w:val="0035566C"/>
    <w:rsid w:val="003637CA"/>
    <w:rsid w:val="00381950"/>
    <w:rsid w:val="00391EF0"/>
    <w:rsid w:val="00392647"/>
    <w:rsid w:val="003A4F74"/>
    <w:rsid w:val="003B1A96"/>
    <w:rsid w:val="003B3B6E"/>
    <w:rsid w:val="003B4549"/>
    <w:rsid w:val="003C1F0B"/>
    <w:rsid w:val="003C390E"/>
    <w:rsid w:val="003C59FD"/>
    <w:rsid w:val="003C6D9C"/>
    <w:rsid w:val="003D2811"/>
    <w:rsid w:val="003D5ECD"/>
    <w:rsid w:val="003D6CC3"/>
    <w:rsid w:val="003E02A2"/>
    <w:rsid w:val="003E050D"/>
    <w:rsid w:val="003E1B63"/>
    <w:rsid w:val="003E3ADB"/>
    <w:rsid w:val="00413C1A"/>
    <w:rsid w:val="00413C97"/>
    <w:rsid w:val="00414D7F"/>
    <w:rsid w:val="00417195"/>
    <w:rsid w:val="00422612"/>
    <w:rsid w:val="00422876"/>
    <w:rsid w:val="00425454"/>
    <w:rsid w:val="0042595F"/>
    <w:rsid w:val="00434E57"/>
    <w:rsid w:val="004530BB"/>
    <w:rsid w:val="0045338E"/>
    <w:rsid w:val="00453B7B"/>
    <w:rsid w:val="00456114"/>
    <w:rsid w:val="004663A7"/>
    <w:rsid w:val="004772F1"/>
    <w:rsid w:val="004857DA"/>
    <w:rsid w:val="00491146"/>
    <w:rsid w:val="004B0FC3"/>
    <w:rsid w:val="004B5783"/>
    <w:rsid w:val="004C1117"/>
    <w:rsid w:val="004C3716"/>
    <w:rsid w:val="004C5E49"/>
    <w:rsid w:val="004E079D"/>
    <w:rsid w:val="004E7B8D"/>
    <w:rsid w:val="004F6035"/>
    <w:rsid w:val="00505ECE"/>
    <w:rsid w:val="005110D1"/>
    <w:rsid w:val="005110DE"/>
    <w:rsid w:val="00536D27"/>
    <w:rsid w:val="005527EC"/>
    <w:rsid w:val="0058392B"/>
    <w:rsid w:val="00583D12"/>
    <w:rsid w:val="00593A40"/>
    <w:rsid w:val="005961F9"/>
    <w:rsid w:val="005B2A05"/>
    <w:rsid w:val="005B3247"/>
    <w:rsid w:val="005B32AD"/>
    <w:rsid w:val="005B505C"/>
    <w:rsid w:val="005C08CC"/>
    <w:rsid w:val="005D08E2"/>
    <w:rsid w:val="005E449A"/>
    <w:rsid w:val="005F34BC"/>
    <w:rsid w:val="00611E12"/>
    <w:rsid w:val="00625CA8"/>
    <w:rsid w:val="00650C6F"/>
    <w:rsid w:val="00652E9F"/>
    <w:rsid w:val="00661ACD"/>
    <w:rsid w:val="00684C64"/>
    <w:rsid w:val="00695296"/>
    <w:rsid w:val="006A512A"/>
    <w:rsid w:val="006B0CA5"/>
    <w:rsid w:val="006C07E8"/>
    <w:rsid w:val="006C7453"/>
    <w:rsid w:val="006D6CC6"/>
    <w:rsid w:val="006E5C3E"/>
    <w:rsid w:val="00706951"/>
    <w:rsid w:val="00710CFB"/>
    <w:rsid w:val="007111E0"/>
    <w:rsid w:val="00716F06"/>
    <w:rsid w:val="007308B0"/>
    <w:rsid w:val="00736A9D"/>
    <w:rsid w:val="00741851"/>
    <w:rsid w:val="00742E70"/>
    <w:rsid w:val="00756205"/>
    <w:rsid w:val="00760BD0"/>
    <w:rsid w:val="007727F8"/>
    <w:rsid w:val="00775A63"/>
    <w:rsid w:val="0078217F"/>
    <w:rsid w:val="0078561A"/>
    <w:rsid w:val="00790853"/>
    <w:rsid w:val="007C2A7B"/>
    <w:rsid w:val="007C5AAA"/>
    <w:rsid w:val="007D2266"/>
    <w:rsid w:val="007D772D"/>
    <w:rsid w:val="007E10E0"/>
    <w:rsid w:val="007E1B47"/>
    <w:rsid w:val="007E25CF"/>
    <w:rsid w:val="007E6318"/>
    <w:rsid w:val="007E7C0F"/>
    <w:rsid w:val="007F2DAE"/>
    <w:rsid w:val="007F4956"/>
    <w:rsid w:val="008043A1"/>
    <w:rsid w:val="008104A5"/>
    <w:rsid w:val="00812075"/>
    <w:rsid w:val="0082752A"/>
    <w:rsid w:val="00831245"/>
    <w:rsid w:val="008421A4"/>
    <w:rsid w:val="00845DCC"/>
    <w:rsid w:val="0085261F"/>
    <w:rsid w:val="008529FB"/>
    <w:rsid w:val="00854F48"/>
    <w:rsid w:val="00857727"/>
    <w:rsid w:val="00862427"/>
    <w:rsid w:val="00870C2B"/>
    <w:rsid w:val="008755CB"/>
    <w:rsid w:val="00877A3C"/>
    <w:rsid w:val="0088538E"/>
    <w:rsid w:val="00891427"/>
    <w:rsid w:val="00893637"/>
    <w:rsid w:val="00896781"/>
    <w:rsid w:val="008A3448"/>
    <w:rsid w:val="008A384A"/>
    <w:rsid w:val="008A507F"/>
    <w:rsid w:val="008A5D25"/>
    <w:rsid w:val="008A74A9"/>
    <w:rsid w:val="008B2FE8"/>
    <w:rsid w:val="008C3E88"/>
    <w:rsid w:val="008C7CA0"/>
    <w:rsid w:val="008E3CD5"/>
    <w:rsid w:val="008E3FF9"/>
    <w:rsid w:val="008E402C"/>
    <w:rsid w:val="008F0752"/>
    <w:rsid w:val="00900FE5"/>
    <w:rsid w:val="00901065"/>
    <w:rsid w:val="00902A80"/>
    <w:rsid w:val="00903DFB"/>
    <w:rsid w:val="0091127A"/>
    <w:rsid w:val="00917969"/>
    <w:rsid w:val="00932C44"/>
    <w:rsid w:val="00933717"/>
    <w:rsid w:val="00951276"/>
    <w:rsid w:val="00960122"/>
    <w:rsid w:val="00964045"/>
    <w:rsid w:val="00971C4E"/>
    <w:rsid w:val="00975E80"/>
    <w:rsid w:val="009839B1"/>
    <w:rsid w:val="0099307F"/>
    <w:rsid w:val="00993F29"/>
    <w:rsid w:val="009A6B36"/>
    <w:rsid w:val="009B311F"/>
    <w:rsid w:val="009B44AA"/>
    <w:rsid w:val="009B6F00"/>
    <w:rsid w:val="009D0E44"/>
    <w:rsid w:val="009F2654"/>
    <w:rsid w:val="00A04867"/>
    <w:rsid w:val="00A048A6"/>
    <w:rsid w:val="00A11325"/>
    <w:rsid w:val="00A2283E"/>
    <w:rsid w:val="00A34415"/>
    <w:rsid w:val="00A5080B"/>
    <w:rsid w:val="00A55823"/>
    <w:rsid w:val="00A57296"/>
    <w:rsid w:val="00A613D9"/>
    <w:rsid w:val="00A66353"/>
    <w:rsid w:val="00A938A3"/>
    <w:rsid w:val="00AA16ED"/>
    <w:rsid w:val="00AE43A4"/>
    <w:rsid w:val="00AF28F8"/>
    <w:rsid w:val="00AF5FD0"/>
    <w:rsid w:val="00B02381"/>
    <w:rsid w:val="00B13DAD"/>
    <w:rsid w:val="00B20802"/>
    <w:rsid w:val="00B22EB4"/>
    <w:rsid w:val="00B25EE5"/>
    <w:rsid w:val="00B2617B"/>
    <w:rsid w:val="00B27377"/>
    <w:rsid w:val="00B374E5"/>
    <w:rsid w:val="00B5184A"/>
    <w:rsid w:val="00B5563D"/>
    <w:rsid w:val="00B56903"/>
    <w:rsid w:val="00B6301C"/>
    <w:rsid w:val="00B63D23"/>
    <w:rsid w:val="00B63DFF"/>
    <w:rsid w:val="00B660BE"/>
    <w:rsid w:val="00B67C29"/>
    <w:rsid w:val="00B73A72"/>
    <w:rsid w:val="00B87172"/>
    <w:rsid w:val="00B93E5B"/>
    <w:rsid w:val="00BA09F9"/>
    <w:rsid w:val="00BA68DC"/>
    <w:rsid w:val="00BA73AD"/>
    <w:rsid w:val="00BC3A38"/>
    <w:rsid w:val="00BD2868"/>
    <w:rsid w:val="00BD4B08"/>
    <w:rsid w:val="00BD584C"/>
    <w:rsid w:val="00BD663F"/>
    <w:rsid w:val="00BE778D"/>
    <w:rsid w:val="00BF0D7C"/>
    <w:rsid w:val="00BF427F"/>
    <w:rsid w:val="00C01446"/>
    <w:rsid w:val="00C03327"/>
    <w:rsid w:val="00C204E9"/>
    <w:rsid w:val="00C33BE8"/>
    <w:rsid w:val="00C343B6"/>
    <w:rsid w:val="00C3463F"/>
    <w:rsid w:val="00C369AC"/>
    <w:rsid w:val="00C3710E"/>
    <w:rsid w:val="00C44B1D"/>
    <w:rsid w:val="00C61488"/>
    <w:rsid w:val="00CA5782"/>
    <w:rsid w:val="00CB24C0"/>
    <w:rsid w:val="00CB3D8C"/>
    <w:rsid w:val="00CB5BC6"/>
    <w:rsid w:val="00CC0B67"/>
    <w:rsid w:val="00D01579"/>
    <w:rsid w:val="00D0618F"/>
    <w:rsid w:val="00D06EA8"/>
    <w:rsid w:val="00D1067E"/>
    <w:rsid w:val="00D11AC1"/>
    <w:rsid w:val="00D20D98"/>
    <w:rsid w:val="00D25077"/>
    <w:rsid w:val="00D310BB"/>
    <w:rsid w:val="00D33B9C"/>
    <w:rsid w:val="00D344C4"/>
    <w:rsid w:val="00D433DC"/>
    <w:rsid w:val="00D53CE8"/>
    <w:rsid w:val="00D654B5"/>
    <w:rsid w:val="00D76D31"/>
    <w:rsid w:val="00D91C4F"/>
    <w:rsid w:val="00DB2C16"/>
    <w:rsid w:val="00DC2FD2"/>
    <w:rsid w:val="00DC3206"/>
    <w:rsid w:val="00DC7AE8"/>
    <w:rsid w:val="00DD1610"/>
    <w:rsid w:val="00DE5AFB"/>
    <w:rsid w:val="00DE7C71"/>
    <w:rsid w:val="00E3300E"/>
    <w:rsid w:val="00E35012"/>
    <w:rsid w:val="00E404A2"/>
    <w:rsid w:val="00E53B0B"/>
    <w:rsid w:val="00E61072"/>
    <w:rsid w:val="00E6490C"/>
    <w:rsid w:val="00E666D0"/>
    <w:rsid w:val="00E717D3"/>
    <w:rsid w:val="00E7452A"/>
    <w:rsid w:val="00E775E6"/>
    <w:rsid w:val="00E902C5"/>
    <w:rsid w:val="00E91762"/>
    <w:rsid w:val="00EA2C08"/>
    <w:rsid w:val="00EA523C"/>
    <w:rsid w:val="00EB1E57"/>
    <w:rsid w:val="00EB6B58"/>
    <w:rsid w:val="00EC2415"/>
    <w:rsid w:val="00EC720A"/>
    <w:rsid w:val="00ED1CAB"/>
    <w:rsid w:val="00ED3FAB"/>
    <w:rsid w:val="00EF0036"/>
    <w:rsid w:val="00F204B4"/>
    <w:rsid w:val="00F2064B"/>
    <w:rsid w:val="00F22437"/>
    <w:rsid w:val="00F31813"/>
    <w:rsid w:val="00F443F7"/>
    <w:rsid w:val="00F54451"/>
    <w:rsid w:val="00F6487C"/>
    <w:rsid w:val="00F663EE"/>
    <w:rsid w:val="00F7440C"/>
    <w:rsid w:val="00F77F0E"/>
    <w:rsid w:val="00F81819"/>
    <w:rsid w:val="00F81FBC"/>
    <w:rsid w:val="00F84984"/>
    <w:rsid w:val="00F8518C"/>
    <w:rsid w:val="00F8792B"/>
    <w:rsid w:val="00F929FB"/>
    <w:rsid w:val="00F977FC"/>
    <w:rsid w:val="00FA1445"/>
    <w:rsid w:val="00FA31CF"/>
    <w:rsid w:val="00FC441F"/>
    <w:rsid w:val="00FD639C"/>
    <w:rsid w:val="00FE2288"/>
    <w:rsid w:val="00FE2C28"/>
    <w:rsid w:val="00FE3D66"/>
    <w:rsid w:val="00FF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table" w:styleId="af">
    <w:name w:val="Table Grid"/>
    <w:basedOn w:val="a1"/>
    <w:uiPriority w:val="59"/>
    <w:rsid w:val="00775A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775A63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775A63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paragraph" w:customStyle="1" w:styleId="ConsPlusNormal">
    <w:name w:val="ConsPlusNormal"/>
    <w:link w:val="ConsPlusNormal0"/>
    <w:qFormat/>
    <w:rsid w:val="00F31813"/>
    <w:pPr>
      <w:widowControl w:val="0"/>
      <w:autoSpaceDE w:val="0"/>
      <w:autoSpaceDN w:val="0"/>
      <w:ind w:firstLine="0"/>
      <w:jc w:val="left"/>
    </w:pPr>
    <w:rPr>
      <w:rFonts w:eastAsia="Times New Roman"/>
      <w:sz w:val="22"/>
    </w:rPr>
  </w:style>
  <w:style w:type="character" w:customStyle="1" w:styleId="ConsPlusNormal0">
    <w:name w:val="ConsPlusNormal Знак"/>
    <w:link w:val="ConsPlusNormal"/>
    <w:rsid w:val="00F31813"/>
    <w:rPr>
      <w:rFonts w:eastAsia="Times New Roman"/>
      <w:sz w:val="22"/>
    </w:rPr>
  </w:style>
  <w:style w:type="paragraph" w:customStyle="1" w:styleId="ConsPlusNonformat">
    <w:name w:val="ConsPlusNonformat"/>
    <w:uiPriority w:val="99"/>
    <w:rsid w:val="003C6D9C"/>
    <w:pPr>
      <w:widowControl w:val="0"/>
      <w:autoSpaceDE w:val="0"/>
      <w:autoSpaceDN w:val="0"/>
      <w:ind w:firstLine="0"/>
      <w:jc w:val="left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1439</Words>
  <Characters>8205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10</cp:revision>
  <cp:lastPrinted>2021-08-26T09:30:00Z</cp:lastPrinted>
  <dcterms:created xsi:type="dcterms:W3CDTF">2021-11-17T09:38:00Z</dcterms:created>
  <dcterms:modified xsi:type="dcterms:W3CDTF">2023-02-01T14:12:00Z</dcterms:modified>
</cp:coreProperties>
</file>