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7F" w:rsidRPr="00B27E74" w:rsidRDefault="008C457F" w:rsidP="008C457F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  </w:t>
      </w:r>
    </w:p>
    <w:p w:rsidR="008C457F" w:rsidRPr="003A00B9" w:rsidRDefault="00EA75FB" w:rsidP="008C457F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8240;mso-position-horizontal:center">
            <v:imagedata r:id="rId5" o:title=""/>
          </v:shape>
          <o:OLEObject Type="Embed" ProgID="PBrush" ShapeID="_x0000_s1026" DrawAspect="Content" ObjectID="_1497766926" r:id="rId6"/>
        </w:pict>
      </w:r>
    </w:p>
    <w:p w:rsidR="008C457F" w:rsidRPr="003A00B9" w:rsidRDefault="008C457F" w:rsidP="008C457F">
      <w:pPr>
        <w:rPr>
          <w:rFonts w:ascii="Arial" w:hAnsi="Arial" w:cs="Arial"/>
          <w:b/>
          <w:spacing w:val="20"/>
          <w:sz w:val="40"/>
        </w:rPr>
      </w:pPr>
    </w:p>
    <w:p w:rsidR="008C457F" w:rsidRPr="003A00B9" w:rsidRDefault="008C457F" w:rsidP="008C457F">
      <w:pPr>
        <w:rPr>
          <w:rFonts w:ascii="Arial" w:hAnsi="Arial" w:cs="Arial"/>
          <w:b/>
          <w:spacing w:val="20"/>
          <w:sz w:val="40"/>
        </w:rPr>
      </w:pPr>
    </w:p>
    <w:p w:rsidR="008C457F" w:rsidRPr="003A00B9" w:rsidRDefault="008C457F" w:rsidP="008C457F">
      <w:pPr>
        <w:rPr>
          <w:rFonts w:ascii="Arial" w:hAnsi="Arial" w:cs="Arial"/>
          <w:b/>
          <w:spacing w:val="20"/>
          <w:sz w:val="40"/>
        </w:rPr>
      </w:pPr>
    </w:p>
    <w:p w:rsidR="008C457F" w:rsidRPr="003A00B9" w:rsidRDefault="008C457F" w:rsidP="008C457F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3A00B9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8C457F" w:rsidRPr="003A00B9" w:rsidRDefault="008C457F" w:rsidP="008C457F">
      <w:pPr>
        <w:pStyle w:val="1"/>
        <w:rPr>
          <w:rFonts w:ascii="Arial" w:hAnsi="Arial" w:cs="Arial"/>
          <w:b w:val="0"/>
          <w:sz w:val="36"/>
          <w:szCs w:val="36"/>
        </w:rPr>
      </w:pPr>
      <w:r w:rsidRPr="003A00B9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8C457F" w:rsidRPr="003A00B9" w:rsidRDefault="008C457F" w:rsidP="008C457F">
      <w:pPr>
        <w:pStyle w:val="1"/>
        <w:rPr>
          <w:rFonts w:ascii="Arial" w:hAnsi="Arial" w:cs="Arial"/>
          <w:sz w:val="32"/>
          <w:szCs w:val="32"/>
        </w:rPr>
      </w:pPr>
      <w:r w:rsidRPr="003A00B9">
        <w:rPr>
          <w:rFonts w:ascii="Arial" w:hAnsi="Arial" w:cs="Arial"/>
          <w:sz w:val="32"/>
          <w:szCs w:val="32"/>
        </w:rPr>
        <w:t>Московской области</w:t>
      </w:r>
    </w:p>
    <w:p w:rsidR="008C457F" w:rsidRPr="003A00B9" w:rsidRDefault="008C457F" w:rsidP="008C457F">
      <w:pPr>
        <w:rPr>
          <w:rFonts w:ascii="Arial" w:hAnsi="Arial" w:cs="Arial"/>
        </w:rPr>
      </w:pPr>
    </w:p>
    <w:p w:rsidR="008C457F" w:rsidRPr="003A00B9" w:rsidRDefault="008C457F" w:rsidP="008C457F">
      <w:pPr>
        <w:rPr>
          <w:rFonts w:ascii="Arial" w:hAnsi="Arial" w:cs="Arial"/>
        </w:rPr>
      </w:pPr>
    </w:p>
    <w:p w:rsidR="008C457F" w:rsidRPr="003A00B9" w:rsidRDefault="008C457F" w:rsidP="008C457F">
      <w:pPr>
        <w:jc w:val="center"/>
        <w:rPr>
          <w:rFonts w:ascii="Arial" w:hAnsi="Arial" w:cs="Arial"/>
        </w:rPr>
      </w:pPr>
      <w:r w:rsidRPr="003A00B9">
        <w:rPr>
          <w:rFonts w:ascii="Arial" w:hAnsi="Arial" w:cs="Arial"/>
          <w:b/>
          <w:spacing w:val="20"/>
          <w:sz w:val="40"/>
        </w:rPr>
        <w:t>ПОСТАНОВЛЕНИЕ</w:t>
      </w:r>
    </w:p>
    <w:p w:rsidR="008C457F" w:rsidRPr="003A00B9" w:rsidRDefault="008C457F" w:rsidP="008C457F">
      <w:pPr>
        <w:jc w:val="center"/>
        <w:rPr>
          <w:rFonts w:ascii="Arial" w:hAnsi="Arial" w:cs="Arial"/>
          <w:sz w:val="16"/>
        </w:rPr>
      </w:pPr>
    </w:p>
    <w:p w:rsidR="008C457F" w:rsidRPr="003A00B9" w:rsidRDefault="008C457F" w:rsidP="008C457F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Ind w:w="14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8C457F" w:rsidRPr="003A00B9" w:rsidTr="003D48FB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8C457F" w:rsidRPr="003A00B9" w:rsidRDefault="0042195D" w:rsidP="003D48F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06.04.2015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8C457F" w:rsidRPr="003A00B9" w:rsidRDefault="008C457F" w:rsidP="003D48FB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8C457F" w:rsidRPr="003A00B9" w:rsidRDefault="008C457F" w:rsidP="003D48FB">
            <w:pPr>
              <w:jc w:val="center"/>
              <w:rPr>
                <w:rFonts w:ascii="Arial" w:hAnsi="Arial" w:cs="Arial"/>
                <w:sz w:val="22"/>
              </w:rPr>
            </w:pPr>
            <w:r w:rsidRPr="003A00B9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8C457F" w:rsidRPr="003A00B9" w:rsidRDefault="0042195D" w:rsidP="003D48F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641</w:t>
            </w:r>
          </w:p>
        </w:tc>
      </w:tr>
    </w:tbl>
    <w:p w:rsidR="008C457F" w:rsidRPr="003A00B9" w:rsidRDefault="008C457F" w:rsidP="008C457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8C457F" w:rsidRDefault="008C457F" w:rsidP="008C45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A00B9">
        <w:rPr>
          <w:rFonts w:ascii="Arial" w:hAnsi="Arial" w:cs="Arial"/>
          <w:b/>
          <w:bCs/>
          <w:sz w:val="24"/>
          <w:szCs w:val="24"/>
        </w:rPr>
        <w:t>О внесении изменений в муниципальную программу «</w:t>
      </w:r>
      <w:r w:rsidR="00E457C3">
        <w:rPr>
          <w:rFonts w:ascii="Arial" w:hAnsi="Arial" w:cs="Arial"/>
          <w:b/>
          <w:bCs/>
          <w:sz w:val="24"/>
          <w:szCs w:val="24"/>
        </w:rPr>
        <w:t xml:space="preserve">Развитие и функционирование дорожно-транспортного комплекса в Пушкинском муниципальном районе на период </w:t>
      </w:r>
      <w:r w:rsidRPr="003A00B9">
        <w:rPr>
          <w:rFonts w:ascii="Arial" w:hAnsi="Arial" w:cs="Arial"/>
          <w:b/>
          <w:sz w:val="24"/>
          <w:szCs w:val="24"/>
        </w:rPr>
        <w:t>2014-2018 год</w:t>
      </w:r>
      <w:r w:rsidR="00E457C3">
        <w:rPr>
          <w:rFonts w:ascii="Arial" w:hAnsi="Arial" w:cs="Arial"/>
          <w:b/>
          <w:sz w:val="24"/>
          <w:szCs w:val="24"/>
        </w:rPr>
        <w:t>ов</w:t>
      </w:r>
      <w:r w:rsidRPr="003A00B9">
        <w:rPr>
          <w:rFonts w:ascii="Arial" w:hAnsi="Arial" w:cs="Arial"/>
          <w:b/>
          <w:bCs/>
          <w:sz w:val="24"/>
          <w:szCs w:val="24"/>
        </w:rPr>
        <w:t>», утвержденную Постановлением администрации Пушкинского муниципального района от 11.10.2013г. № 28</w:t>
      </w:r>
      <w:r w:rsidR="00E457C3">
        <w:rPr>
          <w:rFonts w:ascii="Arial" w:hAnsi="Arial" w:cs="Arial"/>
          <w:b/>
          <w:bCs/>
          <w:sz w:val="24"/>
          <w:szCs w:val="24"/>
        </w:rPr>
        <w:t>41</w:t>
      </w:r>
    </w:p>
    <w:p w:rsidR="0099686E" w:rsidRPr="003A00B9" w:rsidRDefault="0099686E" w:rsidP="008C457F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C457F" w:rsidRPr="003A00B9" w:rsidRDefault="008C457F" w:rsidP="008C457F">
      <w:pPr>
        <w:spacing w:line="276" w:lineRule="auto"/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 w:rsidRPr="003A00B9">
        <w:rPr>
          <w:rFonts w:ascii="Arial" w:hAnsi="Arial" w:cs="Arial"/>
          <w:sz w:val="24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Пушкинского муниципального района от 01.08.2013г. № 2105 «Об утверждении Порядка разработки и реализации муниципальных программ Пушкинского муниципального района», руководствуясь «Дорожной картой» - «Переход Пушкинского муниципального района Московской области на программный метод формирования бюджета», утвержденной Главой Пушкинского муниципального района</w:t>
      </w:r>
      <w:proofErr w:type="gramEnd"/>
      <w:r w:rsidRPr="003A00B9">
        <w:rPr>
          <w:rFonts w:ascii="Arial" w:hAnsi="Arial" w:cs="Arial"/>
          <w:sz w:val="24"/>
          <w:szCs w:val="28"/>
        </w:rPr>
        <w:t xml:space="preserve"> 25.08.2014г., распоряжением администрации Пушкинского муниципального района от 29.08.2014г. № 123-р «Об утверждении Методических рекомендаций по разработке муниципальных программ Пушкинского муниципального района», руководствуясь Уставом муниципального образования «Пушкинский муниципальный район»,</w:t>
      </w:r>
      <w:r w:rsidR="0099686E">
        <w:rPr>
          <w:rFonts w:ascii="Arial" w:hAnsi="Arial" w:cs="Arial"/>
          <w:sz w:val="24"/>
          <w:szCs w:val="28"/>
        </w:rPr>
        <w:t xml:space="preserve"> Соглашениями  передаче отдельных полномочий Пушкинскому муниципальному району по решению отдельных вопросов местного значения городских и сельских поселений, входящих в состав Пушкинского муниципального района</w:t>
      </w:r>
    </w:p>
    <w:p w:rsidR="008C457F" w:rsidRPr="003A00B9" w:rsidRDefault="008C457F" w:rsidP="008C457F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8"/>
        </w:rPr>
      </w:pPr>
    </w:p>
    <w:p w:rsidR="008C457F" w:rsidRPr="003A00B9" w:rsidRDefault="008C457F" w:rsidP="008C457F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8"/>
        </w:rPr>
      </w:pPr>
      <w:r w:rsidRPr="003A00B9">
        <w:rPr>
          <w:rFonts w:ascii="Arial" w:hAnsi="Arial" w:cs="Arial"/>
          <w:b/>
          <w:color w:val="000000"/>
          <w:sz w:val="24"/>
          <w:szCs w:val="28"/>
        </w:rPr>
        <w:t>Постановляю:</w:t>
      </w:r>
    </w:p>
    <w:p w:rsidR="008C457F" w:rsidRDefault="008C457F" w:rsidP="008C457F">
      <w:pPr>
        <w:spacing w:line="276" w:lineRule="auto"/>
        <w:ind w:firstLine="680"/>
        <w:jc w:val="both"/>
        <w:rPr>
          <w:rFonts w:ascii="Arial" w:hAnsi="Arial" w:cs="Arial"/>
          <w:color w:val="000000"/>
          <w:sz w:val="24"/>
          <w:szCs w:val="28"/>
        </w:rPr>
      </w:pPr>
      <w:r w:rsidRPr="003A00B9">
        <w:rPr>
          <w:rFonts w:ascii="Arial" w:hAnsi="Arial" w:cs="Arial"/>
          <w:color w:val="000000"/>
          <w:sz w:val="24"/>
          <w:szCs w:val="28"/>
        </w:rPr>
        <w:t>1. Внести</w:t>
      </w:r>
      <w:r>
        <w:rPr>
          <w:rFonts w:ascii="Arial" w:hAnsi="Arial" w:cs="Arial"/>
          <w:color w:val="000000"/>
          <w:sz w:val="24"/>
          <w:szCs w:val="28"/>
        </w:rPr>
        <w:t xml:space="preserve"> изменения</w:t>
      </w:r>
      <w:r w:rsidRPr="003A00B9">
        <w:rPr>
          <w:rFonts w:ascii="Arial" w:hAnsi="Arial" w:cs="Arial"/>
          <w:color w:val="000000"/>
          <w:sz w:val="24"/>
          <w:szCs w:val="28"/>
        </w:rPr>
        <w:t xml:space="preserve"> в муниципальную программу «</w:t>
      </w:r>
      <w:r w:rsidR="00E457C3" w:rsidRPr="00E457C3">
        <w:rPr>
          <w:rFonts w:ascii="Arial" w:hAnsi="Arial" w:cs="Arial"/>
          <w:bCs/>
          <w:sz w:val="24"/>
          <w:szCs w:val="24"/>
        </w:rPr>
        <w:t xml:space="preserve">Развитие и функционирование дорожно-транспортного комплекса в Пушкинском муниципальном районе на период </w:t>
      </w:r>
      <w:r w:rsidR="00E457C3" w:rsidRPr="00E457C3">
        <w:rPr>
          <w:rFonts w:ascii="Arial" w:hAnsi="Arial" w:cs="Arial"/>
          <w:sz w:val="24"/>
          <w:szCs w:val="24"/>
        </w:rPr>
        <w:t>2014-2018 годов</w:t>
      </w:r>
      <w:r w:rsidRPr="003A00B9">
        <w:rPr>
          <w:rFonts w:ascii="Arial" w:hAnsi="Arial" w:cs="Arial"/>
          <w:color w:val="000000"/>
          <w:sz w:val="24"/>
          <w:szCs w:val="28"/>
        </w:rPr>
        <w:t>», утвержденную постановлением администрации Пушкинского муниципального района от 11.10.2013г. № 28</w:t>
      </w:r>
      <w:r w:rsidR="00E457C3">
        <w:rPr>
          <w:rFonts w:ascii="Arial" w:hAnsi="Arial" w:cs="Arial"/>
          <w:color w:val="000000"/>
          <w:sz w:val="24"/>
          <w:szCs w:val="28"/>
        </w:rPr>
        <w:t>41</w:t>
      </w:r>
      <w:r w:rsidRPr="003A00B9">
        <w:rPr>
          <w:rFonts w:ascii="Arial" w:hAnsi="Arial" w:cs="Arial"/>
          <w:color w:val="000000"/>
          <w:sz w:val="24"/>
          <w:szCs w:val="28"/>
        </w:rPr>
        <w:t xml:space="preserve"> </w:t>
      </w:r>
      <w:r w:rsidR="00CD6706" w:rsidRPr="003A00B9">
        <w:rPr>
          <w:rFonts w:ascii="Arial" w:hAnsi="Arial" w:cs="Arial"/>
          <w:color w:val="000000"/>
          <w:sz w:val="24"/>
          <w:szCs w:val="28"/>
        </w:rPr>
        <w:t>(</w:t>
      </w:r>
      <w:r w:rsidR="005805DD">
        <w:rPr>
          <w:rFonts w:ascii="Arial" w:hAnsi="Arial" w:cs="Arial"/>
          <w:color w:val="000000"/>
          <w:sz w:val="24"/>
          <w:szCs w:val="28"/>
        </w:rPr>
        <w:t xml:space="preserve">с изменениями от 14.10.2014г. №2583 </w:t>
      </w:r>
      <w:r w:rsidR="00CD6706" w:rsidRPr="003A00B9">
        <w:rPr>
          <w:rFonts w:ascii="Arial" w:hAnsi="Arial" w:cs="Arial"/>
          <w:color w:val="000000"/>
          <w:sz w:val="24"/>
          <w:szCs w:val="28"/>
        </w:rPr>
        <w:t>далее</w:t>
      </w:r>
      <w:r w:rsidR="00CD6706">
        <w:rPr>
          <w:rFonts w:ascii="Arial" w:hAnsi="Arial" w:cs="Arial"/>
          <w:color w:val="000000"/>
          <w:sz w:val="24"/>
          <w:szCs w:val="28"/>
        </w:rPr>
        <w:t xml:space="preserve"> -</w:t>
      </w:r>
      <w:r w:rsidR="00CD6706" w:rsidRPr="003A00B9">
        <w:rPr>
          <w:rFonts w:ascii="Arial" w:hAnsi="Arial" w:cs="Arial"/>
          <w:color w:val="000000"/>
          <w:sz w:val="24"/>
          <w:szCs w:val="28"/>
        </w:rPr>
        <w:t xml:space="preserve"> Программа)</w:t>
      </w:r>
      <w:r w:rsidRPr="003A00B9">
        <w:rPr>
          <w:rFonts w:ascii="Arial" w:hAnsi="Arial" w:cs="Arial"/>
          <w:color w:val="000000"/>
          <w:sz w:val="24"/>
          <w:szCs w:val="28"/>
        </w:rPr>
        <w:t xml:space="preserve">, </w:t>
      </w:r>
      <w:r w:rsidR="00CD6706" w:rsidRPr="00F86F62">
        <w:rPr>
          <w:rFonts w:ascii="Arial" w:hAnsi="Arial" w:cs="Arial"/>
          <w:color w:val="000000"/>
          <w:sz w:val="24"/>
          <w:szCs w:val="24"/>
        </w:rPr>
        <w:t>изложив ее в редакции</w:t>
      </w:r>
      <w:r w:rsidR="00CD6706">
        <w:rPr>
          <w:rFonts w:ascii="Arial" w:hAnsi="Arial" w:cs="Arial"/>
          <w:color w:val="000000"/>
          <w:sz w:val="24"/>
          <w:szCs w:val="24"/>
        </w:rPr>
        <w:t>, согласно приложению к настоящему постановлению</w:t>
      </w:r>
      <w:r w:rsidRPr="003A00B9">
        <w:rPr>
          <w:rFonts w:ascii="Arial" w:hAnsi="Arial" w:cs="Arial"/>
          <w:color w:val="000000"/>
          <w:sz w:val="24"/>
          <w:szCs w:val="28"/>
        </w:rPr>
        <w:t>.</w:t>
      </w:r>
    </w:p>
    <w:p w:rsidR="005C005B" w:rsidRDefault="00CD6706" w:rsidP="00CD6706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color w:val="000000"/>
          <w:sz w:val="24"/>
          <w:szCs w:val="24"/>
        </w:rPr>
        <w:t xml:space="preserve"> Определить, что:</w:t>
      </w:r>
    </w:p>
    <w:p w:rsidR="00CD6706" w:rsidRPr="000C5588" w:rsidRDefault="00CD6706" w:rsidP="00CD6706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>2.1.</w:t>
      </w:r>
      <w:r w:rsidRPr="000C5588">
        <w:rPr>
          <w:rFonts w:ascii="Arial" w:hAnsi="Arial" w:cs="Arial"/>
          <w:sz w:val="24"/>
          <w:szCs w:val="24"/>
        </w:rPr>
        <w:t xml:space="preserve"> Управление реализацией муниципальной программы осуществляет координатор муниципальной программы </w:t>
      </w:r>
      <w:proofErr w:type="gramStart"/>
      <w:r w:rsidRPr="000C5588">
        <w:rPr>
          <w:rFonts w:ascii="Arial" w:hAnsi="Arial" w:cs="Arial"/>
          <w:sz w:val="24"/>
          <w:szCs w:val="24"/>
        </w:rPr>
        <w:t>–з</w:t>
      </w:r>
      <w:proofErr w:type="gramEnd"/>
      <w:r w:rsidRPr="000C5588">
        <w:rPr>
          <w:rFonts w:ascii="Arial" w:hAnsi="Arial" w:cs="Arial"/>
          <w:sz w:val="24"/>
          <w:szCs w:val="24"/>
        </w:rPr>
        <w:t xml:space="preserve">аместитель руководителя администрации Пушкинского муниципального района, курирующий работу </w:t>
      </w:r>
      <w:r w:rsidR="00E457C3">
        <w:rPr>
          <w:rFonts w:ascii="Arial" w:hAnsi="Arial" w:cs="Arial"/>
          <w:sz w:val="24"/>
          <w:szCs w:val="24"/>
        </w:rPr>
        <w:t xml:space="preserve">Управления </w:t>
      </w:r>
      <w:r w:rsidR="00F2648C">
        <w:rPr>
          <w:rFonts w:ascii="Arial" w:hAnsi="Arial" w:cs="Arial"/>
          <w:sz w:val="24"/>
          <w:szCs w:val="24"/>
        </w:rPr>
        <w:t xml:space="preserve">городского хозяйства </w:t>
      </w:r>
      <w:r w:rsidRPr="000C5588">
        <w:rPr>
          <w:rFonts w:ascii="Arial" w:hAnsi="Arial" w:cs="Arial"/>
          <w:sz w:val="24"/>
          <w:szCs w:val="24"/>
        </w:rPr>
        <w:t>администрации Пушкинского муниципального района, являющегося муниципальным заказчиком муниципальной программы.</w:t>
      </w:r>
    </w:p>
    <w:p w:rsidR="00CD6706" w:rsidRPr="000C5588" w:rsidRDefault="00CD6706" w:rsidP="00CD6706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2.2</w:t>
      </w:r>
      <w:r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Pr="000C5588">
        <w:rPr>
          <w:rFonts w:ascii="Arial" w:hAnsi="Arial" w:cs="Arial"/>
          <w:sz w:val="24"/>
          <w:szCs w:val="24"/>
        </w:rPr>
        <w:t xml:space="preserve">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целом, несет муниципальный заказчик муниципальной программы – </w:t>
      </w:r>
      <w:r>
        <w:rPr>
          <w:rFonts w:ascii="Arial" w:hAnsi="Arial" w:cs="Arial"/>
          <w:sz w:val="24"/>
          <w:szCs w:val="24"/>
        </w:rPr>
        <w:t xml:space="preserve">Управление </w:t>
      </w:r>
      <w:r w:rsidR="00F2648C">
        <w:rPr>
          <w:rFonts w:ascii="Arial" w:hAnsi="Arial" w:cs="Arial"/>
          <w:sz w:val="24"/>
          <w:szCs w:val="24"/>
        </w:rPr>
        <w:t>городского хозяйства</w:t>
      </w:r>
      <w:r w:rsidRPr="000C558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района.</w:t>
      </w:r>
    </w:p>
    <w:p w:rsidR="00CD6706" w:rsidRPr="000C5588" w:rsidRDefault="00CD6706" w:rsidP="00CD6706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2.3</w:t>
      </w:r>
      <w:r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Управление </w:t>
      </w:r>
      <w:r w:rsidR="00F2648C">
        <w:rPr>
          <w:rFonts w:ascii="Arial" w:hAnsi="Arial" w:cs="Arial"/>
          <w:sz w:val="24"/>
          <w:szCs w:val="24"/>
        </w:rPr>
        <w:t xml:space="preserve">городского хозяйства </w:t>
      </w:r>
      <w:r w:rsidRPr="000C558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один</w:t>
      </w:r>
      <w:r w:rsidRPr="000C5588">
        <w:rPr>
          <w:rFonts w:ascii="Arial" w:hAnsi="Arial" w:cs="Arial"/>
          <w:sz w:val="24"/>
          <w:szCs w:val="24"/>
        </w:rPr>
        <w:t xml:space="preserve"> раз в полугодие до 20 числа месяца, следующ</w:t>
      </w:r>
      <w:r>
        <w:rPr>
          <w:rFonts w:ascii="Arial" w:hAnsi="Arial" w:cs="Arial"/>
          <w:sz w:val="24"/>
          <w:szCs w:val="24"/>
        </w:rPr>
        <w:t>его</w:t>
      </w:r>
      <w:r w:rsidRPr="000C5588">
        <w:rPr>
          <w:rFonts w:ascii="Arial" w:hAnsi="Arial" w:cs="Arial"/>
          <w:sz w:val="24"/>
          <w:szCs w:val="24"/>
        </w:rPr>
        <w:t xml:space="preserve"> за отчетным полугодием, направляет в Комитет по экономике оперативный отчет, согласно Порядку разработки и реализации муниципальных программ Пушкинского муниципального района.</w:t>
      </w:r>
    </w:p>
    <w:p w:rsidR="00CD6706" w:rsidRPr="000C5588" w:rsidRDefault="00CD6706" w:rsidP="00CD6706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3</w:t>
      </w:r>
      <w:r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Pr="000C5588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телекоммуникаций Управления территориальной безопасности администрации Пушкинского муниципального района </w:t>
      </w:r>
      <w:proofErr w:type="gramStart"/>
      <w:r w:rsidRPr="000C5588">
        <w:rPr>
          <w:rFonts w:ascii="Arial" w:hAnsi="Arial" w:cs="Arial"/>
          <w:sz w:val="24"/>
          <w:szCs w:val="24"/>
        </w:rPr>
        <w:t>разместить</w:t>
      </w:r>
      <w:proofErr w:type="gramEnd"/>
      <w:r w:rsidRPr="000C5588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655C85" w:rsidRPr="00F2648C" w:rsidRDefault="00F2648C" w:rsidP="00CD6706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4. </w:t>
      </w:r>
      <w:r w:rsidR="00655C85">
        <w:rPr>
          <w:rFonts w:ascii="Arial" w:hAnsi="Arial" w:cs="Arial"/>
          <w:color w:val="000000"/>
          <w:sz w:val="24"/>
          <w:szCs w:val="28"/>
        </w:rPr>
        <w:t xml:space="preserve">Признать утратившим силу </w:t>
      </w:r>
      <w:r>
        <w:rPr>
          <w:rFonts w:ascii="Arial" w:hAnsi="Arial" w:cs="Arial"/>
          <w:color w:val="000000"/>
          <w:sz w:val="24"/>
          <w:szCs w:val="28"/>
        </w:rPr>
        <w:t>п</w:t>
      </w:r>
      <w:r w:rsidR="00655C85">
        <w:rPr>
          <w:rFonts w:ascii="Arial" w:hAnsi="Arial" w:cs="Arial"/>
          <w:color w:val="000000"/>
          <w:sz w:val="24"/>
          <w:szCs w:val="28"/>
        </w:rPr>
        <w:t>остановление</w:t>
      </w:r>
      <w:r w:rsidRPr="00F2648C">
        <w:rPr>
          <w:rFonts w:ascii="Arial" w:hAnsi="Arial" w:cs="Arial"/>
          <w:b/>
          <w:bCs/>
          <w:sz w:val="24"/>
          <w:szCs w:val="24"/>
        </w:rPr>
        <w:t xml:space="preserve"> </w:t>
      </w:r>
      <w:r w:rsidRPr="00F2648C">
        <w:rPr>
          <w:rFonts w:ascii="Arial" w:hAnsi="Arial" w:cs="Arial"/>
          <w:bCs/>
          <w:sz w:val="24"/>
          <w:szCs w:val="24"/>
        </w:rPr>
        <w:t>администрации Пушкинского муниципального района от 1</w:t>
      </w:r>
      <w:r w:rsidR="00D71F56">
        <w:rPr>
          <w:rFonts w:ascii="Arial" w:hAnsi="Arial" w:cs="Arial"/>
          <w:bCs/>
          <w:sz w:val="24"/>
          <w:szCs w:val="24"/>
        </w:rPr>
        <w:t>4</w:t>
      </w:r>
      <w:r w:rsidRPr="00F2648C">
        <w:rPr>
          <w:rFonts w:ascii="Arial" w:hAnsi="Arial" w:cs="Arial"/>
          <w:bCs/>
          <w:sz w:val="24"/>
          <w:szCs w:val="24"/>
        </w:rPr>
        <w:t>.10.201</w:t>
      </w:r>
      <w:r w:rsidR="00D71F56">
        <w:rPr>
          <w:rFonts w:ascii="Arial" w:hAnsi="Arial" w:cs="Arial"/>
          <w:bCs/>
          <w:sz w:val="24"/>
          <w:szCs w:val="24"/>
        </w:rPr>
        <w:t>4</w:t>
      </w:r>
      <w:r w:rsidRPr="00F2648C">
        <w:rPr>
          <w:rFonts w:ascii="Arial" w:hAnsi="Arial" w:cs="Arial"/>
          <w:bCs/>
          <w:sz w:val="24"/>
          <w:szCs w:val="24"/>
        </w:rPr>
        <w:t>г. № 2</w:t>
      </w:r>
      <w:r w:rsidR="00D71F56">
        <w:rPr>
          <w:rFonts w:ascii="Arial" w:hAnsi="Arial" w:cs="Arial"/>
          <w:bCs/>
          <w:sz w:val="24"/>
          <w:szCs w:val="24"/>
        </w:rPr>
        <w:t>583</w:t>
      </w:r>
      <w:r w:rsidR="00BC68D2">
        <w:rPr>
          <w:rFonts w:ascii="Arial" w:hAnsi="Arial" w:cs="Arial"/>
          <w:bCs/>
          <w:sz w:val="24"/>
          <w:szCs w:val="24"/>
        </w:rPr>
        <w:t xml:space="preserve"> «О внесении изменений в муниципальную программу «Развитие и функционирование дорожно-транспортного комплекса в Пушкинском муниципальном районе на период 2014-2018 годов», утвержденную Постановлением администрации Пушкинского муниципального района от 11.10.2013г. №2841».</w:t>
      </w:r>
    </w:p>
    <w:p w:rsidR="00CD6706" w:rsidRPr="000C5588" w:rsidRDefault="00F2648C" w:rsidP="00CD6706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5</w:t>
      </w:r>
      <w:r w:rsidR="00CD6706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proofErr w:type="gramStart"/>
      <w:r w:rsidR="00CD6706" w:rsidRPr="000C5588">
        <w:rPr>
          <w:rFonts w:ascii="Arial" w:hAnsi="Arial" w:cs="Arial"/>
          <w:sz w:val="24"/>
          <w:szCs w:val="24"/>
        </w:rPr>
        <w:t>Контроль за</w:t>
      </w:r>
      <w:proofErr w:type="gramEnd"/>
      <w:r w:rsidR="00CD6706" w:rsidRPr="000C5588">
        <w:rPr>
          <w:rFonts w:ascii="Arial" w:hAnsi="Arial" w:cs="Arial"/>
          <w:sz w:val="24"/>
          <w:szCs w:val="24"/>
        </w:rPr>
        <w:t xml:space="preserve"> выполнением насто</w:t>
      </w:r>
      <w:r>
        <w:rPr>
          <w:rFonts w:ascii="Arial" w:hAnsi="Arial" w:cs="Arial"/>
          <w:sz w:val="24"/>
          <w:szCs w:val="24"/>
        </w:rPr>
        <w:t xml:space="preserve">ящего постановления возложить на </w:t>
      </w:r>
      <w:r w:rsidR="00CD6706" w:rsidRPr="000C5588">
        <w:rPr>
          <w:rFonts w:ascii="Arial" w:hAnsi="Arial" w:cs="Arial"/>
          <w:sz w:val="24"/>
          <w:szCs w:val="24"/>
        </w:rPr>
        <w:t xml:space="preserve">заместителя руководителя администрации – </w:t>
      </w:r>
      <w:r>
        <w:rPr>
          <w:rFonts w:ascii="Arial" w:hAnsi="Arial" w:cs="Arial"/>
          <w:sz w:val="24"/>
          <w:szCs w:val="24"/>
        </w:rPr>
        <w:t>Гусеву Л.Н.</w:t>
      </w:r>
    </w:p>
    <w:p w:rsidR="008C457F" w:rsidRPr="003A00B9" w:rsidRDefault="008C457F" w:rsidP="008C457F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8C457F" w:rsidRPr="003A00B9" w:rsidRDefault="008C457F" w:rsidP="008C457F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8C457F" w:rsidRPr="003A00B9" w:rsidRDefault="008C457F" w:rsidP="008C457F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8C457F" w:rsidRPr="003A00B9" w:rsidRDefault="008C457F" w:rsidP="008C457F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8C457F" w:rsidRPr="003A00B9" w:rsidRDefault="00B21796" w:rsidP="00B21796">
      <w:pPr>
        <w:spacing w:line="276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</w:t>
      </w:r>
      <w:r w:rsidR="008C457F" w:rsidRPr="003A00B9">
        <w:rPr>
          <w:rFonts w:ascii="Arial" w:hAnsi="Arial" w:cs="Arial"/>
          <w:b/>
          <w:sz w:val="24"/>
          <w:szCs w:val="28"/>
        </w:rPr>
        <w:t xml:space="preserve">Руководитель администрации </w:t>
      </w:r>
    </w:p>
    <w:p w:rsidR="008C457F" w:rsidRPr="003A00B9" w:rsidRDefault="00B21796" w:rsidP="008C457F">
      <w:pPr>
        <w:spacing w:line="276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</w:t>
      </w:r>
      <w:r w:rsidR="008C457F" w:rsidRPr="003A00B9">
        <w:rPr>
          <w:rFonts w:ascii="Arial" w:hAnsi="Arial" w:cs="Arial"/>
          <w:b/>
          <w:sz w:val="24"/>
          <w:szCs w:val="28"/>
        </w:rPr>
        <w:t xml:space="preserve">муниципального района                                                                           М.С. </w:t>
      </w:r>
      <w:proofErr w:type="spellStart"/>
      <w:r w:rsidR="008C457F" w:rsidRPr="003A00B9">
        <w:rPr>
          <w:rFonts w:ascii="Arial" w:hAnsi="Arial" w:cs="Arial"/>
          <w:b/>
          <w:sz w:val="24"/>
          <w:szCs w:val="28"/>
        </w:rPr>
        <w:t>Смайловская</w:t>
      </w:r>
      <w:proofErr w:type="spellEnd"/>
    </w:p>
    <w:p w:rsidR="008C457F" w:rsidRPr="003A00B9" w:rsidRDefault="008C457F" w:rsidP="008C457F">
      <w:pPr>
        <w:rPr>
          <w:rFonts w:ascii="Arial" w:hAnsi="Arial" w:cs="Arial"/>
          <w:sz w:val="24"/>
          <w:szCs w:val="24"/>
        </w:rPr>
      </w:pPr>
    </w:p>
    <w:p w:rsidR="008C457F" w:rsidRPr="003A00B9" w:rsidRDefault="008C457F" w:rsidP="008C457F">
      <w:pPr>
        <w:tabs>
          <w:tab w:val="left" w:pos="142"/>
        </w:tabs>
        <w:jc w:val="both"/>
        <w:rPr>
          <w:rFonts w:ascii="Arial" w:hAnsi="Arial" w:cs="Arial"/>
          <w:sz w:val="26"/>
          <w:szCs w:val="26"/>
        </w:rPr>
      </w:pPr>
    </w:p>
    <w:p w:rsidR="008C457F" w:rsidRPr="003A00B9" w:rsidRDefault="008C457F" w:rsidP="008C457F">
      <w:pPr>
        <w:tabs>
          <w:tab w:val="left" w:pos="142"/>
        </w:tabs>
        <w:jc w:val="both"/>
        <w:rPr>
          <w:rFonts w:ascii="Arial" w:hAnsi="Arial" w:cs="Arial"/>
          <w:sz w:val="26"/>
          <w:szCs w:val="26"/>
        </w:rPr>
      </w:pPr>
    </w:p>
    <w:p w:rsidR="00B21796" w:rsidRDefault="00B21796" w:rsidP="00B21796">
      <w:pPr>
        <w:tabs>
          <w:tab w:val="left" w:pos="-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Верно:</w:t>
      </w:r>
    </w:p>
    <w:p w:rsidR="00B21796" w:rsidRDefault="00B21796" w:rsidP="00B21796">
      <w:pPr>
        <w:tabs>
          <w:tab w:val="left" w:pos="-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Начальник Управления делами</w:t>
      </w:r>
    </w:p>
    <w:p w:rsidR="00B21796" w:rsidRDefault="00B21796" w:rsidP="00B21796">
      <w:pPr>
        <w:tabs>
          <w:tab w:val="left" w:pos="-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администрации муниципального района                                              Е.Д.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Купянская</w:t>
      </w:r>
      <w:proofErr w:type="spellEnd"/>
    </w:p>
    <w:p w:rsidR="008C457F" w:rsidRPr="003A00B9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Pr="003A00B9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Pr="003A00B9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805DD" w:rsidRPr="003A00B9" w:rsidRDefault="005805DD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Pr="003A00B9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57F" w:rsidRPr="003A00B9" w:rsidRDefault="008C457F" w:rsidP="008C457F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C64FE" w:rsidRDefault="00AC64FE"/>
    <w:p w:rsidR="003A74C6" w:rsidRDefault="003A74C6"/>
    <w:p w:rsidR="003A74C6" w:rsidRDefault="003A74C6"/>
    <w:sectPr w:rsidR="003A74C6" w:rsidSect="0099686E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F2042"/>
    <w:multiLevelType w:val="hybridMultilevel"/>
    <w:tmpl w:val="4866D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C457F"/>
    <w:rsid w:val="0009550D"/>
    <w:rsid w:val="00097B3B"/>
    <w:rsid w:val="000F06F3"/>
    <w:rsid w:val="00130704"/>
    <w:rsid w:val="00197E3B"/>
    <w:rsid w:val="00234267"/>
    <w:rsid w:val="00237539"/>
    <w:rsid w:val="00244330"/>
    <w:rsid w:val="002B5EF2"/>
    <w:rsid w:val="0032207B"/>
    <w:rsid w:val="00376230"/>
    <w:rsid w:val="003A74C6"/>
    <w:rsid w:val="0042195D"/>
    <w:rsid w:val="004833D1"/>
    <w:rsid w:val="00504042"/>
    <w:rsid w:val="005805DD"/>
    <w:rsid w:val="005848B7"/>
    <w:rsid w:val="005C005B"/>
    <w:rsid w:val="005E230E"/>
    <w:rsid w:val="005E5442"/>
    <w:rsid w:val="005F4450"/>
    <w:rsid w:val="00630F5C"/>
    <w:rsid w:val="00655C85"/>
    <w:rsid w:val="0069171C"/>
    <w:rsid w:val="0071549B"/>
    <w:rsid w:val="007D380D"/>
    <w:rsid w:val="00850901"/>
    <w:rsid w:val="00875E84"/>
    <w:rsid w:val="008C457F"/>
    <w:rsid w:val="00912511"/>
    <w:rsid w:val="0094108D"/>
    <w:rsid w:val="009448EA"/>
    <w:rsid w:val="0099686E"/>
    <w:rsid w:val="009F7B8D"/>
    <w:rsid w:val="00A24D19"/>
    <w:rsid w:val="00AC64FE"/>
    <w:rsid w:val="00AD14C0"/>
    <w:rsid w:val="00B14F93"/>
    <w:rsid w:val="00B21796"/>
    <w:rsid w:val="00BC68D2"/>
    <w:rsid w:val="00C677F1"/>
    <w:rsid w:val="00CC093B"/>
    <w:rsid w:val="00CD6706"/>
    <w:rsid w:val="00D71F56"/>
    <w:rsid w:val="00D83DF1"/>
    <w:rsid w:val="00D96303"/>
    <w:rsid w:val="00DF3E19"/>
    <w:rsid w:val="00DF69EA"/>
    <w:rsid w:val="00E457C3"/>
    <w:rsid w:val="00EA75FB"/>
    <w:rsid w:val="00EC394E"/>
    <w:rsid w:val="00EE489B"/>
    <w:rsid w:val="00F2648C"/>
    <w:rsid w:val="00F27060"/>
    <w:rsid w:val="00F35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57F"/>
    <w:pPr>
      <w:keepNext/>
      <w:spacing w:line="360" w:lineRule="auto"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57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table" w:styleId="a3">
    <w:name w:val="Table Grid"/>
    <w:basedOn w:val="a1"/>
    <w:uiPriority w:val="59"/>
    <w:rsid w:val="005C0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4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4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Пользователь</cp:lastModifiedBy>
  <cp:revision>2</cp:revision>
  <cp:lastPrinted>2015-07-06T14:49:00Z</cp:lastPrinted>
  <dcterms:created xsi:type="dcterms:W3CDTF">2015-07-07T05:36:00Z</dcterms:created>
  <dcterms:modified xsi:type="dcterms:W3CDTF">2015-07-07T05:36:00Z</dcterms:modified>
</cp:coreProperties>
</file>