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СОГЛАШЕНИЕ</w:t>
      </w:r>
      <w:bookmarkEnd w:id="0"/>
      <w:r w:rsidR="00AD697A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0A3AF4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2/2/1</w:t>
      </w:r>
      <w:r w:rsidR="00AD697A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B96" w:rsidRDefault="005025F1" w:rsidP="006E3224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</w:t>
      </w:r>
      <w:r w:rsidR="003518CC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3518CC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174A7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г. 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BD2579">
        <w:rPr>
          <w:rFonts w:ascii="Times New Roman" w:hAnsi="Times New Roman" w:cs="Times New Roman"/>
          <w:sz w:val="24"/>
          <w:szCs w:val="24"/>
        </w:rPr>
        <w:t xml:space="preserve">    </w:t>
      </w:r>
      <w:r w:rsidR="00AD697A">
        <w:rPr>
          <w:rFonts w:ascii="Times New Roman" w:hAnsi="Times New Roman" w:cs="Times New Roman"/>
          <w:sz w:val="24"/>
          <w:szCs w:val="24"/>
        </w:rPr>
        <w:t xml:space="preserve">     «</w:t>
      </w:r>
      <w:r w:rsidR="00682D6D">
        <w:rPr>
          <w:rFonts w:ascii="Times New Roman" w:hAnsi="Times New Roman" w:cs="Times New Roman"/>
          <w:sz w:val="24"/>
          <w:szCs w:val="24"/>
        </w:rPr>
        <w:t xml:space="preserve"> </w:t>
      </w:r>
      <w:r w:rsidR="00F520A3">
        <w:rPr>
          <w:rFonts w:ascii="Times New Roman" w:hAnsi="Times New Roman" w:cs="Times New Roman"/>
          <w:sz w:val="24"/>
          <w:szCs w:val="24"/>
        </w:rPr>
        <w:t>20</w:t>
      </w:r>
      <w:r w:rsidR="00682D6D">
        <w:rPr>
          <w:rFonts w:ascii="Times New Roman" w:hAnsi="Times New Roman" w:cs="Times New Roman"/>
          <w:sz w:val="24"/>
          <w:szCs w:val="24"/>
        </w:rPr>
        <w:t xml:space="preserve">  </w:t>
      </w:r>
      <w:r w:rsidR="00AD697A">
        <w:rPr>
          <w:rFonts w:ascii="Times New Roman" w:hAnsi="Times New Roman" w:cs="Times New Roman"/>
          <w:sz w:val="24"/>
          <w:szCs w:val="24"/>
        </w:rPr>
        <w:t xml:space="preserve">»  </w:t>
      </w:r>
      <w:r w:rsidR="00F520A3">
        <w:rPr>
          <w:rFonts w:ascii="Times New Roman" w:hAnsi="Times New Roman" w:cs="Times New Roman"/>
          <w:sz w:val="24"/>
          <w:szCs w:val="24"/>
        </w:rPr>
        <w:t>марта</w:t>
      </w:r>
      <w:r w:rsidR="00682D6D">
        <w:rPr>
          <w:rFonts w:ascii="Times New Roman" w:hAnsi="Times New Roman" w:cs="Times New Roman"/>
          <w:sz w:val="24"/>
          <w:szCs w:val="24"/>
        </w:rPr>
        <w:t xml:space="preserve">  </w:t>
      </w:r>
      <w:r w:rsidR="00F520A3">
        <w:rPr>
          <w:rFonts w:ascii="Times New Roman" w:hAnsi="Times New Roman" w:cs="Times New Roman"/>
          <w:sz w:val="24"/>
          <w:szCs w:val="24"/>
        </w:rPr>
        <w:t xml:space="preserve">  2</w:t>
      </w:r>
      <w:r w:rsidR="007C105D">
        <w:rPr>
          <w:rFonts w:ascii="Times New Roman" w:hAnsi="Times New Roman" w:cs="Times New Roman"/>
          <w:sz w:val="24"/>
          <w:szCs w:val="24"/>
        </w:rPr>
        <w:t>01</w:t>
      </w:r>
      <w:r w:rsidR="001E2422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146B96" w:rsidRPr="00262364" w:rsidRDefault="005025F1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3518CC">
        <w:rPr>
          <w:rFonts w:ascii="Times New Roman" w:hAnsi="Times New Roman" w:cs="Times New Roman"/>
          <w:sz w:val="24"/>
          <w:szCs w:val="24"/>
        </w:rPr>
        <w:t>сельского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3518CC">
        <w:rPr>
          <w:rFonts w:ascii="Times New Roman" w:hAnsi="Times New Roman" w:cs="Times New Roman"/>
          <w:sz w:val="24"/>
          <w:szCs w:val="24"/>
        </w:rPr>
        <w:t>Ельдигинское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1B4E83">
        <w:rPr>
          <w:rFonts w:ascii="Times New Roman" w:hAnsi="Times New Roman" w:cs="Times New Roman"/>
          <w:sz w:val="24"/>
          <w:szCs w:val="24"/>
        </w:rPr>
        <w:t>П</w:t>
      </w:r>
      <w:r w:rsidR="00610511" w:rsidRPr="00262364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ED712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D712D" w:rsidRPr="00ED712D">
        <w:rPr>
          <w:rFonts w:ascii="Times New Roman" w:hAnsi="Times New Roman" w:cs="Times New Roman"/>
          <w:sz w:val="24"/>
          <w:szCs w:val="24"/>
        </w:rPr>
        <w:t>Г</w:t>
      </w:r>
      <w:r w:rsidR="00641CAF" w:rsidRPr="00ED712D">
        <w:rPr>
          <w:rFonts w:ascii="Times New Roman" w:hAnsi="Times New Roman" w:cs="Times New Roman"/>
          <w:sz w:val="24"/>
          <w:szCs w:val="24"/>
        </w:rPr>
        <w:t>лавы</w:t>
      </w:r>
      <w:r w:rsidR="00610511" w:rsidRPr="00ED712D">
        <w:rPr>
          <w:rFonts w:ascii="Times New Roman" w:hAnsi="Times New Roman" w:cs="Times New Roman"/>
          <w:sz w:val="24"/>
          <w:szCs w:val="24"/>
        </w:rPr>
        <w:t xml:space="preserve"> </w:t>
      </w:r>
      <w:r w:rsidR="003518CC">
        <w:rPr>
          <w:rFonts w:ascii="Times New Roman" w:hAnsi="Times New Roman" w:cs="Times New Roman"/>
          <w:sz w:val="24"/>
          <w:szCs w:val="24"/>
        </w:rPr>
        <w:t>сельского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3518CC">
        <w:rPr>
          <w:rFonts w:ascii="Times New Roman" w:hAnsi="Times New Roman" w:cs="Times New Roman"/>
          <w:sz w:val="24"/>
          <w:szCs w:val="24"/>
        </w:rPr>
        <w:t>Ельдигинское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3518CC">
        <w:rPr>
          <w:rFonts w:ascii="Times New Roman" w:hAnsi="Times New Roman" w:cs="Times New Roman"/>
          <w:sz w:val="24"/>
          <w:szCs w:val="24"/>
        </w:rPr>
        <w:t>Валецкой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3518CC">
        <w:rPr>
          <w:rFonts w:ascii="Times New Roman" w:hAnsi="Times New Roman" w:cs="Times New Roman"/>
          <w:sz w:val="24"/>
          <w:szCs w:val="24"/>
        </w:rPr>
        <w:t>Людмилы Николаевны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r w:rsidR="00934390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518CC">
        <w:rPr>
          <w:rFonts w:ascii="Times New Roman" w:hAnsi="Times New Roman" w:cs="Times New Roman"/>
          <w:sz w:val="24"/>
          <w:szCs w:val="24"/>
        </w:rPr>
        <w:t>сельско</w:t>
      </w:r>
      <w:r w:rsidR="00934390">
        <w:rPr>
          <w:rFonts w:ascii="Times New Roman" w:hAnsi="Times New Roman" w:cs="Times New Roman"/>
          <w:sz w:val="24"/>
          <w:szCs w:val="24"/>
        </w:rPr>
        <w:t>е</w:t>
      </w:r>
      <w:r w:rsidR="003518C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934390">
        <w:rPr>
          <w:rFonts w:ascii="Times New Roman" w:hAnsi="Times New Roman" w:cs="Times New Roman"/>
          <w:sz w:val="24"/>
          <w:szCs w:val="24"/>
        </w:rPr>
        <w:t>е</w:t>
      </w:r>
      <w:r w:rsidR="003518CC">
        <w:rPr>
          <w:rFonts w:ascii="Times New Roman" w:hAnsi="Times New Roman" w:cs="Times New Roman"/>
          <w:sz w:val="24"/>
          <w:szCs w:val="24"/>
        </w:rPr>
        <w:t xml:space="preserve"> Ельдигинское </w:t>
      </w:r>
      <w:r w:rsidRPr="00262364">
        <w:rPr>
          <w:rFonts w:ascii="Times New Roman" w:hAnsi="Times New Roman" w:cs="Times New Roman"/>
          <w:sz w:val="24"/>
          <w:szCs w:val="24"/>
        </w:rPr>
        <w:t>Пушкинского муниципального района Московской области</w:t>
      </w:r>
      <w:r w:rsidR="00934390">
        <w:rPr>
          <w:rFonts w:ascii="Times New Roman" w:hAnsi="Times New Roman" w:cs="Times New Roman"/>
          <w:sz w:val="24"/>
          <w:szCs w:val="24"/>
        </w:rPr>
        <w:t>»</w:t>
      </w:r>
      <w:r w:rsidR="009E0696">
        <w:rPr>
          <w:rFonts w:ascii="Times New Roman" w:hAnsi="Times New Roman" w:cs="Times New Roman"/>
          <w:sz w:val="24"/>
          <w:szCs w:val="24"/>
        </w:rPr>
        <w:t xml:space="preserve"> и решения Совета депутатов сельского поселения Ельдигинское </w:t>
      </w:r>
      <w:r w:rsidR="009E0696" w:rsidRPr="006E3224">
        <w:rPr>
          <w:rFonts w:ascii="Times New Roman" w:hAnsi="Times New Roman" w:cs="Times New Roman"/>
          <w:sz w:val="24"/>
          <w:szCs w:val="24"/>
        </w:rPr>
        <w:t xml:space="preserve">от </w:t>
      </w:r>
      <w:r w:rsidR="006E3224" w:rsidRPr="006E3224">
        <w:rPr>
          <w:rFonts w:ascii="Times New Roman" w:hAnsi="Times New Roman" w:cs="Times New Roman"/>
          <w:sz w:val="24"/>
          <w:szCs w:val="24"/>
        </w:rPr>
        <w:t>2</w:t>
      </w:r>
      <w:r w:rsidR="00246356">
        <w:rPr>
          <w:rFonts w:ascii="Times New Roman" w:hAnsi="Times New Roman" w:cs="Times New Roman"/>
          <w:sz w:val="24"/>
          <w:szCs w:val="24"/>
        </w:rPr>
        <w:t>2</w:t>
      </w:r>
      <w:r w:rsidR="006E3224" w:rsidRPr="006E3224">
        <w:rPr>
          <w:rFonts w:ascii="Times New Roman" w:hAnsi="Times New Roman" w:cs="Times New Roman"/>
          <w:sz w:val="24"/>
          <w:szCs w:val="24"/>
        </w:rPr>
        <w:t>.</w:t>
      </w:r>
      <w:r w:rsidR="00246356">
        <w:rPr>
          <w:rFonts w:ascii="Times New Roman" w:hAnsi="Times New Roman" w:cs="Times New Roman"/>
          <w:sz w:val="24"/>
          <w:szCs w:val="24"/>
        </w:rPr>
        <w:t>09</w:t>
      </w:r>
      <w:r w:rsidR="006E3224" w:rsidRPr="006E3224">
        <w:rPr>
          <w:rFonts w:ascii="Times New Roman" w:hAnsi="Times New Roman" w:cs="Times New Roman"/>
          <w:sz w:val="24"/>
          <w:szCs w:val="24"/>
        </w:rPr>
        <w:t>.201</w:t>
      </w:r>
      <w:r w:rsidR="00246356">
        <w:rPr>
          <w:rFonts w:ascii="Times New Roman" w:hAnsi="Times New Roman" w:cs="Times New Roman"/>
          <w:sz w:val="24"/>
          <w:szCs w:val="24"/>
        </w:rPr>
        <w:t>4</w:t>
      </w:r>
      <w:r w:rsidR="009E0696" w:rsidRPr="006E3224">
        <w:rPr>
          <w:rFonts w:ascii="Times New Roman" w:hAnsi="Times New Roman" w:cs="Times New Roman"/>
          <w:sz w:val="24"/>
          <w:szCs w:val="24"/>
        </w:rPr>
        <w:t xml:space="preserve">  №</w:t>
      </w:r>
      <w:r w:rsidR="006E3224">
        <w:rPr>
          <w:rFonts w:ascii="Times New Roman" w:hAnsi="Times New Roman" w:cs="Times New Roman"/>
          <w:sz w:val="24"/>
          <w:szCs w:val="24"/>
        </w:rPr>
        <w:t xml:space="preserve"> </w:t>
      </w:r>
      <w:r w:rsidR="00246356">
        <w:rPr>
          <w:rFonts w:ascii="Times New Roman" w:hAnsi="Times New Roman" w:cs="Times New Roman"/>
          <w:sz w:val="24"/>
          <w:szCs w:val="24"/>
        </w:rPr>
        <w:t>02</w:t>
      </w:r>
      <w:r w:rsidR="006E3224">
        <w:rPr>
          <w:rFonts w:ascii="Times New Roman" w:hAnsi="Times New Roman" w:cs="Times New Roman"/>
          <w:sz w:val="24"/>
          <w:szCs w:val="24"/>
        </w:rPr>
        <w:t>/</w:t>
      </w:r>
      <w:r w:rsidR="00246356">
        <w:rPr>
          <w:rFonts w:ascii="Times New Roman" w:hAnsi="Times New Roman" w:cs="Times New Roman"/>
          <w:sz w:val="24"/>
          <w:szCs w:val="24"/>
        </w:rPr>
        <w:t>0</w:t>
      </w:r>
      <w:r w:rsidR="006E3224">
        <w:rPr>
          <w:rFonts w:ascii="Times New Roman" w:hAnsi="Times New Roman" w:cs="Times New Roman"/>
          <w:sz w:val="24"/>
          <w:szCs w:val="24"/>
        </w:rPr>
        <w:t>1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>», решения Совета депутатов Пушкин</w:t>
      </w:r>
      <w:r w:rsidR="00934390">
        <w:rPr>
          <w:rFonts w:ascii="Times New Roman" w:hAnsi="Times New Roman" w:cs="Times New Roman"/>
          <w:sz w:val="24"/>
          <w:szCs w:val="24"/>
        </w:rPr>
        <w:t>ского муниципального района от 29</w:t>
      </w:r>
      <w:r w:rsidRPr="00262364">
        <w:rPr>
          <w:rFonts w:ascii="Times New Roman" w:hAnsi="Times New Roman" w:cs="Times New Roman"/>
          <w:sz w:val="24"/>
          <w:szCs w:val="24"/>
        </w:rPr>
        <w:t>.12.20</w:t>
      </w:r>
      <w:r w:rsidR="00934390">
        <w:rPr>
          <w:rFonts w:ascii="Times New Roman" w:hAnsi="Times New Roman" w:cs="Times New Roman"/>
          <w:sz w:val="24"/>
          <w:szCs w:val="24"/>
        </w:rPr>
        <w:t>14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 </w:t>
      </w:r>
      <w:r w:rsidR="00934390">
        <w:rPr>
          <w:rFonts w:ascii="Times New Roman" w:hAnsi="Times New Roman" w:cs="Times New Roman"/>
          <w:sz w:val="24"/>
          <w:szCs w:val="24"/>
        </w:rPr>
        <w:t>36</w:t>
      </w:r>
      <w:r w:rsidRPr="00262364">
        <w:rPr>
          <w:rFonts w:ascii="Times New Roman" w:hAnsi="Times New Roman" w:cs="Times New Roman"/>
          <w:sz w:val="24"/>
          <w:szCs w:val="24"/>
        </w:rPr>
        <w:t>/</w:t>
      </w:r>
      <w:r w:rsidR="00934390">
        <w:rPr>
          <w:rFonts w:ascii="Times New Roman" w:hAnsi="Times New Roman" w:cs="Times New Roman"/>
          <w:sz w:val="24"/>
          <w:szCs w:val="24"/>
        </w:rPr>
        <w:t>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</w:t>
      </w:r>
      <w:r w:rsidR="00934390">
        <w:rPr>
          <w:rFonts w:ascii="Times New Roman" w:hAnsi="Times New Roman" w:cs="Times New Roman"/>
          <w:sz w:val="24"/>
          <w:szCs w:val="24"/>
        </w:rPr>
        <w:t xml:space="preserve">         </w:t>
      </w:r>
      <w:r w:rsidR="007F77E5">
        <w:rPr>
          <w:rFonts w:ascii="Times New Roman" w:hAnsi="Times New Roman" w:cs="Times New Roman"/>
          <w:sz w:val="24"/>
          <w:szCs w:val="24"/>
        </w:rPr>
        <w:t xml:space="preserve">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>, далее именуемы</w:t>
      </w:r>
      <w:r w:rsidR="00934390">
        <w:rPr>
          <w:rFonts w:ascii="Times New Roman" w:hAnsi="Times New Roman" w:cs="Times New Roman"/>
          <w:sz w:val="24"/>
          <w:szCs w:val="24"/>
        </w:rPr>
        <w:t>е стороны, заключили настоящее С</w:t>
      </w:r>
      <w:r w:rsidRPr="00262364">
        <w:rPr>
          <w:rFonts w:ascii="Times New Roman" w:hAnsi="Times New Roman" w:cs="Times New Roman"/>
          <w:sz w:val="24"/>
          <w:szCs w:val="24"/>
        </w:rPr>
        <w:t>оглашение о нижеследующем:</w:t>
      </w:r>
      <w:bookmarkStart w:id="1" w:name="bookmark1"/>
    </w:p>
    <w:p w:rsidR="005E4854" w:rsidRPr="005E4854" w:rsidRDefault="005E4854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934390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Предметом настоящего С</w:t>
      </w:r>
      <w:r w:rsidR="005025F1" w:rsidRPr="001B4E83">
        <w:rPr>
          <w:rFonts w:ascii="Times New Roman" w:hAnsi="Times New Roman" w:cs="Times New Roman"/>
          <w:sz w:val="24"/>
          <w:szCs w:val="24"/>
        </w:rPr>
        <w:t xml:space="preserve">оглашения является передача Счетной палате полномочий контрольно-счетного органа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="005025F1"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="005025F1" w:rsidRPr="001B4E83">
        <w:rPr>
          <w:rFonts w:ascii="Times New Roman" w:hAnsi="Times New Roman" w:cs="Times New Roman"/>
          <w:sz w:val="24"/>
          <w:szCs w:val="24"/>
        </w:rPr>
        <w:t xml:space="preserve"> 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9E0696">
        <w:rPr>
          <w:rFonts w:ascii="Times New Roman" w:hAnsi="Times New Roman" w:cs="Times New Roman"/>
          <w:sz w:val="24"/>
          <w:szCs w:val="24"/>
        </w:rPr>
        <w:t xml:space="preserve"> -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96145C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</w:t>
      </w:r>
      <w:r w:rsidR="002E2C69"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>оселения, также муниципальных программ;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анализ бюджетного процесса в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 xml:space="preserve">лаве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иные полномочия в сфере внешнего муниципального финансового контроля, установленные федеральными законами, законами Московской области, Уставом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Совета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>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5F6782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="009E0696">
        <w:rPr>
          <w:rFonts w:ascii="Times New Roman" w:hAnsi="Times New Roman" w:cs="Times New Roman"/>
          <w:sz w:val="24"/>
          <w:szCs w:val="24"/>
        </w:rPr>
        <w:t xml:space="preserve">ежегодный 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объем финансовых средств, предоставляемых Счетной палате Пушкинского муниципального района в размере </w:t>
      </w:r>
      <w:r w:rsidR="007D73DA">
        <w:rPr>
          <w:rFonts w:ascii="Times New Roman" w:hAnsi="Times New Roman" w:cs="Times New Roman"/>
          <w:sz w:val="24"/>
          <w:szCs w:val="24"/>
        </w:rPr>
        <w:t>183 700</w:t>
      </w:r>
      <w:r w:rsidRPr="00301014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217B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5F6782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5F6782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Имеет право проводить контрольные и экспертно-аналитические </w:t>
      </w:r>
      <w:r w:rsidRPr="001B4E83">
        <w:rPr>
          <w:rFonts w:ascii="Times New Roman" w:hAnsi="Times New Roman" w:cs="Times New Roman"/>
          <w:sz w:val="24"/>
          <w:szCs w:val="24"/>
        </w:rPr>
        <w:lastRenderedPageBreak/>
        <w:t>мероприятия совместно с другими органами и организациями, с привлечением их специалистов и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Направляет отчеты и заключения по результатам проведенных мероприятий Совету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 необходимости направлять указанные материалы 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9E0696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80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 случае возникновения препятствий для исполнения предусмотренных настоящим Соглашением полномочий, может обращаться в Совет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Предоставляет Совету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 xml:space="preserve">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774167">
        <w:rPr>
          <w:rFonts w:ascii="Times New Roman" w:hAnsi="Times New Roman" w:cs="Times New Roman"/>
          <w:sz w:val="24"/>
          <w:szCs w:val="24"/>
        </w:rPr>
        <w:t>сельского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774167">
        <w:rPr>
          <w:rFonts w:ascii="Times New Roman" w:hAnsi="Times New Roman" w:cs="Times New Roman"/>
          <w:sz w:val="24"/>
          <w:szCs w:val="24"/>
        </w:rPr>
        <w:t>Ельдигинское</w:t>
      </w:r>
      <w:r w:rsidRPr="001B4E83">
        <w:rPr>
          <w:rFonts w:ascii="Times New Roman" w:hAnsi="Times New Roman" w:cs="Times New Roman"/>
          <w:sz w:val="24"/>
          <w:szCs w:val="24"/>
        </w:rPr>
        <w:t>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P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Pr="00AF1861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E351B9">
        <w:rPr>
          <w:rFonts w:ascii="Times New Roman" w:hAnsi="Times New Roman" w:cs="Times New Roman"/>
          <w:sz w:val="24"/>
          <w:szCs w:val="24"/>
        </w:rPr>
        <w:t xml:space="preserve"> </w:t>
      </w:r>
      <w:r w:rsidR="00934390">
        <w:rPr>
          <w:rFonts w:ascii="Times New Roman" w:hAnsi="Times New Roman" w:cs="Times New Roman"/>
          <w:sz w:val="24"/>
          <w:szCs w:val="24"/>
        </w:rPr>
        <w:t>п</w:t>
      </w:r>
      <w:r w:rsidR="00E351B9">
        <w:rPr>
          <w:rFonts w:ascii="Times New Roman" w:hAnsi="Times New Roman" w:cs="Times New Roman"/>
          <w:sz w:val="24"/>
          <w:szCs w:val="24"/>
        </w:rPr>
        <w:t>о 31 декабря 201</w:t>
      </w:r>
      <w:r w:rsidR="001E2422">
        <w:rPr>
          <w:rFonts w:ascii="Times New Roman" w:hAnsi="Times New Roman" w:cs="Times New Roman"/>
          <w:sz w:val="24"/>
          <w:szCs w:val="24"/>
        </w:rPr>
        <w:t>9</w:t>
      </w:r>
      <w:r w:rsidR="00E351B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A6A1A">
        <w:rPr>
          <w:rFonts w:ascii="Times New Roman" w:hAnsi="Times New Roman" w:cs="Times New Roman"/>
          <w:sz w:val="24"/>
          <w:szCs w:val="24"/>
        </w:rPr>
        <w:t>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P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Pr="00CD4969" w:rsidRDefault="00CD4969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</w:t>
      </w:r>
      <w:r w:rsidR="009E0696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1B4E83">
        <w:rPr>
          <w:rFonts w:ascii="Times New Roman" w:hAnsi="Times New Roman" w:cs="Times New Roman"/>
          <w:sz w:val="24"/>
          <w:szCs w:val="24"/>
        </w:rPr>
        <w:t>сторонами и распространяется на правоотношения сторон, возникшие с 01.01.201</w:t>
      </w:r>
      <w:r w:rsidR="001E2422">
        <w:rPr>
          <w:rFonts w:ascii="Times New Roman" w:hAnsi="Times New Roman" w:cs="Times New Roman"/>
          <w:sz w:val="24"/>
          <w:szCs w:val="24"/>
        </w:rPr>
        <w:t>9</w:t>
      </w:r>
      <w:r w:rsidRPr="001B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Изменения и дополнения в Соглашение могут быть внесены по взаимному согласию сторон путем составления</w:t>
      </w:r>
      <w:r w:rsidR="009E0696">
        <w:rPr>
          <w:rFonts w:ascii="Times New Roman" w:hAnsi="Times New Roman" w:cs="Times New Roman"/>
          <w:sz w:val="24"/>
          <w:szCs w:val="24"/>
        </w:rPr>
        <w:t xml:space="preserve"> в письменной форме дополнительного соглашения</w:t>
      </w:r>
      <w:r w:rsidRPr="001B4E83">
        <w:rPr>
          <w:rFonts w:ascii="Times New Roman" w:hAnsi="Times New Roman" w:cs="Times New Roman"/>
          <w:sz w:val="24"/>
          <w:szCs w:val="24"/>
        </w:rPr>
        <w:t>, являющегося неотъемлемой частью настоящего Соглашения.</w:t>
      </w:r>
    </w:p>
    <w:p w:rsidR="006E3224" w:rsidRPr="006E3224" w:rsidRDefault="006E3224" w:rsidP="006E3224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</w:t>
      </w:r>
    </w:p>
    <w:p w:rsidR="00061F61" w:rsidRDefault="00061F61" w:rsidP="009E0696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настоящим Соглашением полномочий</w:t>
      </w:r>
      <w:r w:rsidR="009E0696">
        <w:rPr>
          <w:rFonts w:ascii="Times New Roman" w:hAnsi="Times New Roman" w:cs="Times New Roman"/>
          <w:sz w:val="24"/>
          <w:szCs w:val="24"/>
        </w:rPr>
        <w:t>;</w:t>
      </w:r>
    </w:p>
    <w:p w:rsidR="009E0696" w:rsidRPr="001B4E83" w:rsidRDefault="009E0696" w:rsidP="009E0696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</w:p>
    <w:p w:rsidR="00061F61" w:rsidRPr="001B4E83" w:rsidRDefault="00061F61" w:rsidP="006E3224">
      <w:pPr>
        <w:pStyle w:val="Bodytext2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8"/>
        <w:gridCol w:w="3188"/>
        <w:gridCol w:w="3189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Совет депутатов </w:t>
            </w:r>
            <w:r w:rsidR="00774167">
              <w:rPr>
                <w:rStyle w:val="Heading2Exact"/>
                <w:rFonts w:ascii="Times New Roman" w:hAnsi="Times New Roman" w:cs="Times New Roman"/>
                <w:b/>
              </w:rPr>
              <w:t>сельского</w:t>
            </w: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 поселения </w:t>
            </w:r>
            <w:r w:rsidR="00774167">
              <w:rPr>
                <w:rStyle w:val="Heading2Exact"/>
                <w:rFonts w:ascii="Times New Roman" w:hAnsi="Times New Roman" w:cs="Times New Roman"/>
                <w:b/>
              </w:rPr>
              <w:t>Ельдигинское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8C008C" w:rsidRPr="00384C13" w:rsidRDefault="008C008C" w:rsidP="008C008C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 xml:space="preserve">Глава </w:t>
            </w:r>
            <w:r w:rsidR="00774167">
              <w:rPr>
                <w:rStyle w:val="Heading2Exact"/>
                <w:rFonts w:ascii="Times New Roman" w:hAnsi="Times New Roman" w:cs="Times New Roman"/>
                <w:b/>
              </w:rPr>
              <w:t>сельского</w:t>
            </w:r>
            <w:r w:rsidRPr="00F665ED">
              <w:rPr>
                <w:rStyle w:val="Heading2Exact"/>
                <w:rFonts w:ascii="Times New Roman" w:hAnsi="Times New Roman" w:cs="Times New Roman"/>
                <w:b/>
              </w:rPr>
              <w:t xml:space="preserve"> поселения </w:t>
            </w:r>
            <w:r w:rsidR="00774167">
              <w:rPr>
                <w:rStyle w:val="Heading2Exact"/>
                <w:rFonts w:ascii="Times New Roman" w:hAnsi="Times New Roman" w:cs="Times New Roman"/>
                <w:b/>
              </w:rPr>
              <w:t>Ельдигинское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774167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>Л.Н. Валецкая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BD257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81C" w:rsidRDefault="0024581C" w:rsidP="00146B96">
      <w:r>
        <w:separator/>
      </w:r>
    </w:p>
  </w:endnote>
  <w:endnote w:type="continuationSeparator" w:id="1">
    <w:p w:rsidR="0024581C" w:rsidRDefault="0024581C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81C" w:rsidRDefault="0024581C"/>
  </w:footnote>
  <w:footnote w:type="continuationSeparator" w:id="1">
    <w:p w:rsidR="0024581C" w:rsidRDefault="0024581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A2B69F56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61F61"/>
    <w:rsid w:val="00085247"/>
    <w:rsid w:val="00096376"/>
    <w:rsid w:val="000A3AF4"/>
    <w:rsid w:val="000D0E14"/>
    <w:rsid w:val="000D461E"/>
    <w:rsid w:val="000F2EE0"/>
    <w:rsid w:val="00146B96"/>
    <w:rsid w:val="00154C77"/>
    <w:rsid w:val="00174453"/>
    <w:rsid w:val="00174A71"/>
    <w:rsid w:val="001A0A42"/>
    <w:rsid w:val="001B4E83"/>
    <w:rsid w:val="001C5415"/>
    <w:rsid w:val="001E2422"/>
    <w:rsid w:val="001F4C0E"/>
    <w:rsid w:val="002055BD"/>
    <w:rsid w:val="0024581C"/>
    <w:rsid w:val="00246356"/>
    <w:rsid w:val="00262364"/>
    <w:rsid w:val="002759F5"/>
    <w:rsid w:val="00295EE1"/>
    <w:rsid w:val="00296970"/>
    <w:rsid w:val="002A498E"/>
    <w:rsid w:val="002D3D94"/>
    <w:rsid w:val="002E2C69"/>
    <w:rsid w:val="00301014"/>
    <w:rsid w:val="00336930"/>
    <w:rsid w:val="003518CC"/>
    <w:rsid w:val="0035535B"/>
    <w:rsid w:val="00377570"/>
    <w:rsid w:val="00384C13"/>
    <w:rsid w:val="003A4EE8"/>
    <w:rsid w:val="003C02D0"/>
    <w:rsid w:val="003E71D6"/>
    <w:rsid w:val="004111A4"/>
    <w:rsid w:val="004317CB"/>
    <w:rsid w:val="00451111"/>
    <w:rsid w:val="00466DFB"/>
    <w:rsid w:val="00473DFA"/>
    <w:rsid w:val="004D67D4"/>
    <w:rsid w:val="005025F1"/>
    <w:rsid w:val="00522D6B"/>
    <w:rsid w:val="00522E0F"/>
    <w:rsid w:val="005910DE"/>
    <w:rsid w:val="005B0ADB"/>
    <w:rsid w:val="005B5520"/>
    <w:rsid w:val="005D6EE9"/>
    <w:rsid w:val="005E4854"/>
    <w:rsid w:val="005F4DF8"/>
    <w:rsid w:val="005F6782"/>
    <w:rsid w:val="00610511"/>
    <w:rsid w:val="00641CAF"/>
    <w:rsid w:val="006807DB"/>
    <w:rsid w:val="00682D6D"/>
    <w:rsid w:val="006866F3"/>
    <w:rsid w:val="00697A35"/>
    <w:rsid w:val="006A1FD8"/>
    <w:rsid w:val="006B1CEB"/>
    <w:rsid w:val="006B7D4E"/>
    <w:rsid w:val="006D638B"/>
    <w:rsid w:val="006E3224"/>
    <w:rsid w:val="006F2652"/>
    <w:rsid w:val="00702CCD"/>
    <w:rsid w:val="007352B0"/>
    <w:rsid w:val="007707D9"/>
    <w:rsid w:val="00774167"/>
    <w:rsid w:val="00787ACB"/>
    <w:rsid w:val="00793B33"/>
    <w:rsid w:val="007971AF"/>
    <w:rsid w:val="007C105D"/>
    <w:rsid w:val="007D3957"/>
    <w:rsid w:val="007D73DA"/>
    <w:rsid w:val="007F77E5"/>
    <w:rsid w:val="0080298C"/>
    <w:rsid w:val="00803C8E"/>
    <w:rsid w:val="00813C5E"/>
    <w:rsid w:val="00854EF1"/>
    <w:rsid w:val="008750DE"/>
    <w:rsid w:val="00880912"/>
    <w:rsid w:val="00886713"/>
    <w:rsid w:val="00893136"/>
    <w:rsid w:val="008A6F85"/>
    <w:rsid w:val="008B16FA"/>
    <w:rsid w:val="008C008C"/>
    <w:rsid w:val="00923FBE"/>
    <w:rsid w:val="00934390"/>
    <w:rsid w:val="00941DBD"/>
    <w:rsid w:val="00946570"/>
    <w:rsid w:val="0095089C"/>
    <w:rsid w:val="0096145C"/>
    <w:rsid w:val="00961BE3"/>
    <w:rsid w:val="00974A66"/>
    <w:rsid w:val="00977A6F"/>
    <w:rsid w:val="00991939"/>
    <w:rsid w:val="00993D31"/>
    <w:rsid w:val="009A6A1A"/>
    <w:rsid w:val="009B2367"/>
    <w:rsid w:val="009C031E"/>
    <w:rsid w:val="009C3EF5"/>
    <w:rsid w:val="009D2A71"/>
    <w:rsid w:val="009E0696"/>
    <w:rsid w:val="009F33AA"/>
    <w:rsid w:val="009F4E74"/>
    <w:rsid w:val="009F62CA"/>
    <w:rsid w:val="00A01CFB"/>
    <w:rsid w:val="00A041ED"/>
    <w:rsid w:val="00A46F26"/>
    <w:rsid w:val="00A570A1"/>
    <w:rsid w:val="00A66479"/>
    <w:rsid w:val="00AB7B41"/>
    <w:rsid w:val="00AD697A"/>
    <w:rsid w:val="00AF1861"/>
    <w:rsid w:val="00B16164"/>
    <w:rsid w:val="00BA43B4"/>
    <w:rsid w:val="00BB4D16"/>
    <w:rsid w:val="00BB6ED5"/>
    <w:rsid w:val="00BD2579"/>
    <w:rsid w:val="00BF2941"/>
    <w:rsid w:val="00C14F9B"/>
    <w:rsid w:val="00C65445"/>
    <w:rsid w:val="00C6782E"/>
    <w:rsid w:val="00C766CC"/>
    <w:rsid w:val="00CD4969"/>
    <w:rsid w:val="00CF495D"/>
    <w:rsid w:val="00CF5206"/>
    <w:rsid w:val="00D37099"/>
    <w:rsid w:val="00D776B3"/>
    <w:rsid w:val="00DA738E"/>
    <w:rsid w:val="00DF662E"/>
    <w:rsid w:val="00E301C0"/>
    <w:rsid w:val="00E351B9"/>
    <w:rsid w:val="00E576B5"/>
    <w:rsid w:val="00E70BE5"/>
    <w:rsid w:val="00E90378"/>
    <w:rsid w:val="00ED1008"/>
    <w:rsid w:val="00ED712D"/>
    <w:rsid w:val="00EF42F8"/>
    <w:rsid w:val="00F520A3"/>
    <w:rsid w:val="00F636CC"/>
    <w:rsid w:val="00F75851"/>
    <w:rsid w:val="00F7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15</cp:revision>
  <cp:lastPrinted>2018-02-20T07:29:00Z</cp:lastPrinted>
  <dcterms:created xsi:type="dcterms:W3CDTF">2018-02-19T14:09:00Z</dcterms:created>
  <dcterms:modified xsi:type="dcterms:W3CDTF">2019-03-22T12:51:00Z</dcterms:modified>
</cp:coreProperties>
</file>