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9"/>
      </w:tblGrid>
      <w:tr w:rsidR="00193445" w:rsidTr="00193445">
        <w:trPr>
          <w:trHeight w:val="1283"/>
        </w:trPr>
        <w:tc>
          <w:tcPr>
            <w:tcW w:w="4079" w:type="dxa"/>
          </w:tcPr>
          <w:p w:rsidR="00193445" w:rsidRPr="00193445" w:rsidRDefault="00193445" w:rsidP="00193445">
            <w:pPr>
              <w:tabs>
                <w:tab w:val="left" w:pos="538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344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3445" w:rsidRPr="00193445" w:rsidRDefault="00193445" w:rsidP="00193445">
            <w:pPr>
              <w:tabs>
                <w:tab w:val="left" w:pos="538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3445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Городского округа </w:t>
            </w:r>
            <w:proofErr w:type="gramStart"/>
            <w:r w:rsidRPr="00193445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proofErr w:type="gramEnd"/>
            <w:r w:rsidRPr="001934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3445" w:rsidRPr="00193445" w:rsidRDefault="00193445" w:rsidP="00193445">
            <w:pPr>
              <w:tabs>
                <w:tab w:val="left" w:pos="538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93445">
              <w:rPr>
                <w:rFonts w:ascii="Times New Roman" w:hAnsi="Times New Roman"/>
                <w:sz w:val="28"/>
                <w:szCs w:val="28"/>
              </w:rPr>
              <w:t xml:space="preserve">Московской области </w:t>
            </w:r>
          </w:p>
          <w:p w:rsidR="00193445" w:rsidRDefault="00193445" w:rsidP="002E5849">
            <w:r w:rsidRPr="0019344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E5849">
              <w:rPr>
                <w:rFonts w:ascii="Times New Roman" w:hAnsi="Times New Roman"/>
                <w:sz w:val="28"/>
                <w:szCs w:val="28"/>
              </w:rPr>
              <w:t>05.06.2023</w:t>
            </w:r>
            <w:r w:rsidRPr="0019344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E5849">
              <w:rPr>
                <w:rFonts w:ascii="Times New Roman" w:hAnsi="Times New Roman"/>
                <w:sz w:val="28"/>
                <w:szCs w:val="28"/>
              </w:rPr>
              <w:t>2307-ПА</w:t>
            </w:r>
          </w:p>
        </w:tc>
      </w:tr>
    </w:tbl>
    <w:p w:rsidR="00DD288C" w:rsidRDefault="00DD288C" w:rsidP="00DD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193445" w:rsidRPr="00193445" w:rsidRDefault="00193445" w:rsidP="00193445">
      <w:pPr>
        <w:jc w:val="center"/>
        <w:rPr>
          <w:rFonts w:ascii="Times New Roman" w:hAnsi="Times New Roman"/>
        </w:rPr>
      </w:pPr>
      <w:r w:rsidRPr="00193445">
        <w:rPr>
          <w:rFonts w:ascii="Times New Roman" w:hAnsi="Times New Roman"/>
          <w:sz w:val="28"/>
          <w:szCs w:val="28"/>
        </w:rPr>
        <w:t xml:space="preserve">Значения коэффициентов выравнивания,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</w:t>
      </w:r>
      <w:proofErr w:type="gramStart"/>
      <w:r w:rsidRPr="00193445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193445">
        <w:rPr>
          <w:rFonts w:ascii="Times New Roman" w:hAnsi="Times New Roman"/>
          <w:sz w:val="28"/>
          <w:szCs w:val="28"/>
        </w:rPr>
        <w:t xml:space="preserve"> Московской области, подведомственными Администрации Городского округа Пушкинский Московской области </w:t>
      </w:r>
    </w:p>
    <w:tbl>
      <w:tblPr>
        <w:tblStyle w:val="a3"/>
        <w:tblW w:w="9747" w:type="dxa"/>
        <w:tblLook w:val="04A0"/>
      </w:tblPr>
      <w:tblGrid>
        <w:gridCol w:w="675"/>
        <w:gridCol w:w="3153"/>
        <w:gridCol w:w="3651"/>
        <w:gridCol w:w="2268"/>
      </w:tblGrid>
      <w:tr w:rsidR="00193445" w:rsidRPr="00D638A0" w:rsidTr="00B93F07">
        <w:tc>
          <w:tcPr>
            <w:tcW w:w="675" w:type="dxa"/>
          </w:tcPr>
          <w:p w:rsidR="00193445" w:rsidRPr="00D638A0" w:rsidRDefault="00193445" w:rsidP="00B93F07">
            <w:pPr>
              <w:rPr>
                <w:rFonts w:ascii="Times New Roman" w:hAnsi="Times New Roman"/>
              </w:rPr>
            </w:pPr>
            <w:r w:rsidRPr="00D638A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638A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638A0">
              <w:rPr>
                <w:rFonts w:ascii="Times New Roman" w:hAnsi="Times New Roman"/>
              </w:rPr>
              <w:t>/</w:t>
            </w:r>
            <w:proofErr w:type="spellStart"/>
            <w:r w:rsidRPr="00D638A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53" w:type="dxa"/>
          </w:tcPr>
          <w:p w:rsidR="00193445" w:rsidRPr="00D638A0" w:rsidRDefault="00193445" w:rsidP="00B93F07">
            <w:pPr>
              <w:rPr>
                <w:rFonts w:ascii="Times New Roman" w:hAnsi="Times New Roman"/>
              </w:rPr>
            </w:pPr>
            <w:r w:rsidRPr="00D638A0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3651" w:type="dxa"/>
          </w:tcPr>
          <w:p w:rsidR="00193445" w:rsidRPr="003E7B05" w:rsidRDefault="00193445" w:rsidP="00B93F07">
            <w:pPr>
              <w:jc w:val="center"/>
              <w:rPr>
                <w:rFonts w:ascii="Times New Roman" w:hAnsi="Times New Roman"/>
              </w:rPr>
            </w:pPr>
            <w:r w:rsidRPr="003E7B05">
              <w:rPr>
                <w:rFonts w:ascii="Times New Roman" w:hAnsi="Times New Roman"/>
              </w:rPr>
              <w:t>Содержание работы (услуги)</w:t>
            </w:r>
          </w:p>
        </w:tc>
        <w:tc>
          <w:tcPr>
            <w:tcW w:w="2268" w:type="dxa"/>
          </w:tcPr>
          <w:p w:rsidR="00193445" w:rsidRDefault="00193445" w:rsidP="00B93F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выравнивания</w:t>
            </w:r>
          </w:p>
          <w:p w:rsidR="00193445" w:rsidRPr="00D638A0" w:rsidRDefault="00193445" w:rsidP="00B93F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</w:tr>
      <w:tr w:rsidR="00193445" w:rsidRPr="00D638A0" w:rsidTr="00B93F07">
        <w:tc>
          <w:tcPr>
            <w:tcW w:w="675" w:type="dxa"/>
          </w:tcPr>
          <w:p w:rsidR="00193445" w:rsidRPr="00D638A0" w:rsidRDefault="00193445" w:rsidP="00B93F07">
            <w:pPr>
              <w:jc w:val="center"/>
              <w:rPr>
                <w:rFonts w:ascii="Times New Roman" w:hAnsi="Times New Roman"/>
              </w:rPr>
            </w:pPr>
            <w:r w:rsidRPr="00D638A0">
              <w:rPr>
                <w:rFonts w:ascii="Times New Roman" w:hAnsi="Times New Roman"/>
              </w:rPr>
              <w:t>1</w:t>
            </w:r>
          </w:p>
        </w:tc>
        <w:tc>
          <w:tcPr>
            <w:tcW w:w="3153" w:type="dxa"/>
          </w:tcPr>
          <w:p w:rsidR="00193445" w:rsidRPr="00D638A0" w:rsidRDefault="00193445" w:rsidP="00B93F07">
            <w:pPr>
              <w:jc w:val="center"/>
              <w:rPr>
                <w:rFonts w:ascii="Times New Roman" w:hAnsi="Times New Roman"/>
              </w:rPr>
            </w:pPr>
            <w:r w:rsidRPr="00D638A0">
              <w:rPr>
                <w:rFonts w:ascii="Times New Roman" w:hAnsi="Times New Roman"/>
              </w:rPr>
              <w:t>2</w:t>
            </w:r>
          </w:p>
        </w:tc>
        <w:tc>
          <w:tcPr>
            <w:tcW w:w="3651" w:type="dxa"/>
          </w:tcPr>
          <w:p w:rsidR="00193445" w:rsidRPr="00D638A0" w:rsidRDefault="00193445" w:rsidP="00B93F07">
            <w:pPr>
              <w:jc w:val="center"/>
              <w:rPr>
                <w:rFonts w:ascii="Times New Roman" w:hAnsi="Times New Roman"/>
              </w:rPr>
            </w:pPr>
            <w:r w:rsidRPr="00D638A0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193445" w:rsidRPr="00D638A0" w:rsidRDefault="00193445" w:rsidP="00B93F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040F8" w:rsidRPr="00D638A0" w:rsidTr="006040F8">
        <w:trPr>
          <w:trHeight w:val="762"/>
        </w:trPr>
        <w:tc>
          <w:tcPr>
            <w:tcW w:w="675" w:type="dxa"/>
            <w:vMerge w:val="restart"/>
          </w:tcPr>
          <w:p w:rsidR="006040F8" w:rsidRPr="006040F8" w:rsidRDefault="006040F8" w:rsidP="00C86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 w:val="restart"/>
          </w:tcPr>
          <w:p w:rsidR="006040F8" w:rsidRPr="00D638A0" w:rsidRDefault="006040F8" w:rsidP="00C86B09">
            <w:pPr>
              <w:rPr>
                <w:rFonts w:ascii="Times New Roman" w:hAnsi="Times New Roman"/>
              </w:rPr>
            </w:pPr>
            <w:r w:rsidRPr="00D638A0">
              <w:rPr>
                <w:rFonts w:ascii="Times New Roman" w:hAnsi="Times New Roman"/>
              </w:rPr>
              <w:t xml:space="preserve">Муниципальное бюджетное учреждение «Городское хозяйство» Городского округа </w:t>
            </w:r>
            <w:proofErr w:type="gramStart"/>
            <w:r w:rsidRPr="00D638A0">
              <w:rPr>
                <w:rFonts w:ascii="Times New Roman" w:hAnsi="Times New Roman"/>
              </w:rPr>
              <w:t>Пушкинский</w:t>
            </w:r>
            <w:proofErr w:type="gramEnd"/>
            <w:r w:rsidRPr="00D638A0">
              <w:rPr>
                <w:rFonts w:ascii="Times New Roman" w:hAnsi="Times New Roman"/>
              </w:rPr>
              <w:t xml:space="preserve"> Московской области</w:t>
            </w:r>
          </w:p>
        </w:tc>
        <w:tc>
          <w:tcPr>
            <w:tcW w:w="3651" w:type="dxa"/>
            <w:vAlign w:val="center"/>
          </w:tcPr>
          <w:p w:rsidR="006040F8" w:rsidRPr="00D638A0" w:rsidRDefault="006040F8" w:rsidP="006040F8">
            <w:pPr>
              <w:jc w:val="center"/>
              <w:rPr>
                <w:rFonts w:ascii="Times New Roman" w:hAnsi="Times New Roman"/>
              </w:rPr>
            </w:pPr>
            <w:r w:rsidRPr="006040F8">
              <w:rPr>
                <w:rFonts w:ascii="Times New Roman" w:hAnsi="Times New Roman"/>
              </w:rPr>
              <w:t>Содержание дворовых территорий</w:t>
            </w:r>
          </w:p>
        </w:tc>
        <w:tc>
          <w:tcPr>
            <w:tcW w:w="2268" w:type="dxa"/>
            <w:vAlign w:val="center"/>
          </w:tcPr>
          <w:p w:rsidR="006040F8" w:rsidRPr="006040F8" w:rsidRDefault="00CB5891" w:rsidP="006040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-288,90</w:t>
            </w:r>
          </w:p>
        </w:tc>
      </w:tr>
      <w:tr w:rsidR="006040F8" w:rsidRPr="00D638A0" w:rsidTr="006040F8">
        <w:trPr>
          <w:trHeight w:val="703"/>
        </w:trPr>
        <w:tc>
          <w:tcPr>
            <w:tcW w:w="675" w:type="dxa"/>
            <w:vMerge/>
          </w:tcPr>
          <w:p w:rsidR="006040F8" w:rsidRPr="006040F8" w:rsidRDefault="006040F8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6040F8" w:rsidRPr="00D638A0" w:rsidRDefault="006040F8" w:rsidP="00B93F0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6040F8" w:rsidRPr="00D638A0" w:rsidRDefault="006040F8" w:rsidP="006040F8">
            <w:pPr>
              <w:jc w:val="center"/>
              <w:rPr>
                <w:rFonts w:ascii="Times New Roman" w:hAnsi="Times New Roman"/>
              </w:rPr>
            </w:pPr>
            <w:r w:rsidRPr="006040F8">
              <w:rPr>
                <w:rFonts w:ascii="Times New Roman" w:hAnsi="Times New Roman"/>
              </w:rPr>
              <w:t>Содержание общественных пространств</w:t>
            </w:r>
          </w:p>
        </w:tc>
        <w:tc>
          <w:tcPr>
            <w:tcW w:w="2268" w:type="dxa"/>
            <w:vAlign w:val="center"/>
          </w:tcPr>
          <w:p w:rsidR="006040F8" w:rsidRPr="006040F8" w:rsidRDefault="006040F8" w:rsidP="006040F8">
            <w:pPr>
              <w:jc w:val="center"/>
              <w:rPr>
                <w:rFonts w:ascii="Times New Roman" w:hAnsi="Times New Roman"/>
              </w:rPr>
            </w:pPr>
            <w:r w:rsidRPr="006040F8">
              <w:rPr>
                <w:rFonts w:ascii="Times New Roman" w:hAnsi="Times New Roman"/>
              </w:rPr>
              <w:t>– 5 752,94</w:t>
            </w:r>
          </w:p>
        </w:tc>
      </w:tr>
      <w:tr w:rsidR="00324939" w:rsidRPr="00D638A0" w:rsidTr="00B93F07">
        <w:tc>
          <w:tcPr>
            <w:tcW w:w="675" w:type="dxa"/>
            <w:vMerge w:val="restart"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 w:val="restart"/>
          </w:tcPr>
          <w:p w:rsidR="00324939" w:rsidRPr="00D638A0" w:rsidRDefault="000E65CF" w:rsidP="00B93F07">
            <w:pPr>
              <w:rPr>
                <w:rFonts w:ascii="Times New Roman" w:hAnsi="Times New Roman"/>
              </w:rPr>
            </w:pPr>
            <w:hyperlink r:id="rId5" w:tooltip="МБУ &quot;ЦЕНТРАЛЬНАЯ БИБЛИОТЕКА&quot;" w:history="1">
              <w:r w:rsidR="00324939" w:rsidRPr="00D5728E">
                <w:rPr>
                  <w:rFonts w:ascii="Times New Roman" w:hAnsi="Times New Roman"/>
                  <w:sz w:val="24"/>
                  <w:szCs w:val="24"/>
                </w:rPr>
                <w:t>Муниципальное бюджетное учреждение</w:t>
              </w:r>
              <w:r w:rsidR="00324939">
                <w:rPr>
                  <w:rFonts w:ascii="Times New Roman" w:hAnsi="Times New Roman"/>
                  <w:sz w:val="24"/>
                  <w:szCs w:val="24"/>
                </w:rPr>
                <w:t xml:space="preserve"> дополнительного образования</w:t>
              </w:r>
              <w:r w:rsidR="00324939" w:rsidRPr="00D5728E">
                <w:rPr>
                  <w:rFonts w:ascii="Times New Roman" w:hAnsi="Times New Roman"/>
                  <w:sz w:val="24"/>
                  <w:szCs w:val="24"/>
                </w:rPr>
                <w:t xml:space="preserve"> «Спортивная школа» Городского округа </w:t>
              </w:r>
              <w:proofErr w:type="gramStart"/>
              <w:r w:rsidR="00324939" w:rsidRPr="00D5728E">
                <w:rPr>
                  <w:rFonts w:ascii="Times New Roman" w:hAnsi="Times New Roman"/>
                  <w:sz w:val="24"/>
                  <w:szCs w:val="24"/>
                </w:rPr>
                <w:t>Пушкинский</w:t>
              </w:r>
              <w:proofErr w:type="gramEnd"/>
              <w:r w:rsidR="00324939" w:rsidRPr="00D5728E">
                <w:rPr>
                  <w:rFonts w:ascii="Times New Roman" w:hAnsi="Times New Roman"/>
                  <w:sz w:val="24"/>
                  <w:szCs w:val="24"/>
                </w:rPr>
                <w:t xml:space="preserve"> Московской области</w:t>
              </w:r>
            </w:hyperlink>
          </w:p>
        </w:tc>
        <w:tc>
          <w:tcPr>
            <w:tcW w:w="3651" w:type="dxa"/>
            <w:vAlign w:val="center"/>
          </w:tcPr>
          <w:p w:rsidR="00324939" w:rsidRPr="00D638A0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6E656C">
              <w:rPr>
                <w:rFonts w:ascii="Times New Roman" w:hAnsi="Times New Roman"/>
              </w:rPr>
              <w:t>Спортивная подготовка по олимпийским видам спорта (гребля на байдарках и каноэ) (этап начальной подготовки)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11 499,03</w:t>
            </w:r>
          </w:p>
        </w:tc>
      </w:tr>
      <w:tr w:rsidR="00324939" w:rsidRPr="00D638A0" w:rsidTr="00B93F07">
        <w:tc>
          <w:tcPr>
            <w:tcW w:w="675" w:type="dxa"/>
            <w:vMerge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324939" w:rsidRPr="00D638A0" w:rsidRDefault="00324939" w:rsidP="00B93F0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324939" w:rsidRPr="00D638A0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6E656C">
              <w:rPr>
                <w:rFonts w:ascii="Times New Roman" w:hAnsi="Times New Roman"/>
              </w:rPr>
              <w:t>Спортивная подготовка по олимпийским видам спорта (гребля на байдарках и каноэ</w:t>
            </w:r>
            <w:proofErr w:type="gramStart"/>
            <w:r w:rsidRPr="006E656C">
              <w:rPr>
                <w:rFonts w:ascii="Times New Roman" w:hAnsi="Times New Roman"/>
              </w:rPr>
              <w:t>)(</w:t>
            </w:r>
            <w:proofErr w:type="gramEnd"/>
            <w:r w:rsidRPr="006E656C">
              <w:rPr>
                <w:rFonts w:ascii="Times New Roman" w:hAnsi="Times New Roman"/>
              </w:rPr>
              <w:t>тренировочный этап)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86 887,04</w:t>
            </w:r>
          </w:p>
        </w:tc>
      </w:tr>
      <w:tr w:rsidR="00324939" w:rsidRPr="00D638A0" w:rsidTr="00B93F07">
        <w:tc>
          <w:tcPr>
            <w:tcW w:w="675" w:type="dxa"/>
            <w:vMerge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324939" w:rsidRPr="00D638A0" w:rsidRDefault="00324939" w:rsidP="00B93F0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324939" w:rsidRPr="00D638A0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F8348A">
              <w:rPr>
                <w:rFonts w:ascii="Times New Roman" w:hAnsi="Times New Roman"/>
              </w:rPr>
              <w:t>Спортивная подготовка по олимпийским видам спорта (гребля на байдарках и каноэ</w:t>
            </w:r>
            <w:proofErr w:type="gramStart"/>
            <w:r w:rsidRPr="00F8348A">
              <w:rPr>
                <w:rFonts w:ascii="Times New Roman" w:hAnsi="Times New Roman"/>
              </w:rPr>
              <w:t>)(</w:t>
            </w:r>
            <w:proofErr w:type="gramEnd"/>
            <w:r w:rsidRPr="00F8348A">
              <w:rPr>
                <w:rFonts w:ascii="Times New Roman" w:hAnsi="Times New Roman"/>
              </w:rPr>
              <w:t>этап совершенствования спортивного мастерства)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132 385,14</w:t>
            </w:r>
          </w:p>
        </w:tc>
      </w:tr>
      <w:tr w:rsidR="00324939" w:rsidRPr="00D638A0" w:rsidTr="00B93F07">
        <w:tc>
          <w:tcPr>
            <w:tcW w:w="675" w:type="dxa"/>
            <w:vMerge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324939" w:rsidRPr="00D638A0" w:rsidRDefault="00324939" w:rsidP="00B93F0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324939" w:rsidRPr="00D638A0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F8348A">
              <w:rPr>
                <w:rFonts w:ascii="Times New Roman" w:hAnsi="Times New Roman"/>
              </w:rPr>
              <w:t>Спортивная подготовка по олимпийским видам спорта (художественная гимнастика) (этап начальной подготовки)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8 612,30</w:t>
            </w:r>
          </w:p>
        </w:tc>
      </w:tr>
      <w:tr w:rsidR="00324939" w:rsidRPr="00D638A0" w:rsidTr="00B93F07">
        <w:tc>
          <w:tcPr>
            <w:tcW w:w="675" w:type="dxa"/>
            <w:vMerge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324939" w:rsidRPr="00D638A0" w:rsidRDefault="00324939" w:rsidP="00B93F0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324939" w:rsidRPr="00D638A0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F8348A">
              <w:rPr>
                <w:rFonts w:ascii="Times New Roman" w:hAnsi="Times New Roman"/>
              </w:rPr>
              <w:t>Спортивная подготовка по олимпийским видам спорта (художественная гимнастика) (тренировочный этап)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55 082,56</w:t>
            </w:r>
          </w:p>
        </w:tc>
      </w:tr>
      <w:tr w:rsidR="00324939" w:rsidRPr="00D638A0" w:rsidTr="00B93F07">
        <w:tc>
          <w:tcPr>
            <w:tcW w:w="675" w:type="dxa"/>
            <w:vMerge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324939" w:rsidRPr="00D638A0" w:rsidRDefault="00324939" w:rsidP="00B93F0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324939" w:rsidRPr="00D638A0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84092C">
              <w:rPr>
                <w:rFonts w:ascii="Times New Roman" w:hAnsi="Times New Roman"/>
              </w:rPr>
              <w:t>Спортивная подготовка по олимпийским видам спорта (художественная гимнастика) (этап совершенствования спортивного мастерства)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46 043,59</w:t>
            </w:r>
          </w:p>
        </w:tc>
      </w:tr>
      <w:tr w:rsidR="00324939" w:rsidRPr="00D638A0" w:rsidTr="00B93F07">
        <w:tc>
          <w:tcPr>
            <w:tcW w:w="675" w:type="dxa"/>
            <w:vMerge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324939" w:rsidRPr="00D638A0" w:rsidRDefault="00324939" w:rsidP="00B93F0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324939" w:rsidRPr="00D638A0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84092C">
              <w:rPr>
                <w:rFonts w:ascii="Times New Roman" w:hAnsi="Times New Roman"/>
              </w:rPr>
              <w:t>Спортивная подготовка по олимпийским видам спорта (дзюдо</w:t>
            </w:r>
            <w:proofErr w:type="gramStart"/>
            <w:r w:rsidRPr="0084092C">
              <w:rPr>
                <w:rFonts w:ascii="Times New Roman" w:hAnsi="Times New Roman"/>
              </w:rPr>
              <w:t>)(</w:t>
            </w:r>
            <w:proofErr w:type="gramEnd"/>
            <w:r w:rsidRPr="0084092C">
              <w:rPr>
                <w:rFonts w:ascii="Times New Roman" w:hAnsi="Times New Roman"/>
              </w:rPr>
              <w:t>этап начальной подготовки)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5 020,41</w:t>
            </w:r>
          </w:p>
        </w:tc>
      </w:tr>
      <w:tr w:rsidR="00324939" w:rsidRPr="00D638A0" w:rsidTr="00B93F07">
        <w:tc>
          <w:tcPr>
            <w:tcW w:w="675" w:type="dxa"/>
            <w:vMerge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324939" w:rsidRPr="00D638A0" w:rsidRDefault="00324939" w:rsidP="00B93F0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324939" w:rsidRPr="00D638A0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84092C">
              <w:rPr>
                <w:rFonts w:ascii="Times New Roman" w:hAnsi="Times New Roman"/>
              </w:rPr>
              <w:t>Спортивная подготовка по олимпийским видам спорта (дзюдо</w:t>
            </w:r>
            <w:proofErr w:type="gramStart"/>
            <w:r w:rsidRPr="0084092C">
              <w:rPr>
                <w:rFonts w:ascii="Times New Roman" w:hAnsi="Times New Roman"/>
              </w:rPr>
              <w:t>)(</w:t>
            </w:r>
            <w:proofErr w:type="gramEnd"/>
            <w:r w:rsidRPr="0084092C">
              <w:rPr>
                <w:rFonts w:ascii="Times New Roman" w:hAnsi="Times New Roman"/>
              </w:rPr>
              <w:t>тренировочный этап)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7 395,18</w:t>
            </w:r>
          </w:p>
        </w:tc>
      </w:tr>
      <w:tr w:rsidR="00324939" w:rsidRPr="00D638A0" w:rsidTr="00B93F07">
        <w:tc>
          <w:tcPr>
            <w:tcW w:w="675" w:type="dxa"/>
            <w:vMerge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324939" w:rsidRPr="00D638A0" w:rsidRDefault="00324939" w:rsidP="00B93F0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324939" w:rsidRPr="00D638A0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84092C">
              <w:rPr>
                <w:rFonts w:ascii="Times New Roman" w:hAnsi="Times New Roman"/>
              </w:rPr>
              <w:t xml:space="preserve">Спортивная подготовка по </w:t>
            </w:r>
            <w:proofErr w:type="spellStart"/>
            <w:r w:rsidRPr="0084092C">
              <w:rPr>
                <w:rFonts w:ascii="Times New Roman" w:hAnsi="Times New Roman"/>
              </w:rPr>
              <w:t>неолимпийским</w:t>
            </w:r>
            <w:proofErr w:type="spellEnd"/>
            <w:r w:rsidRPr="0084092C">
              <w:rPr>
                <w:rFonts w:ascii="Times New Roman" w:hAnsi="Times New Roman"/>
              </w:rPr>
              <w:t xml:space="preserve"> видам спорта (самбо) (этап начальной подготовки)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5 857,15</w:t>
            </w:r>
          </w:p>
        </w:tc>
      </w:tr>
      <w:tr w:rsidR="00324939" w:rsidRPr="00D638A0" w:rsidTr="00B93F07">
        <w:tc>
          <w:tcPr>
            <w:tcW w:w="675" w:type="dxa"/>
            <w:vMerge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324939" w:rsidRPr="00D638A0" w:rsidRDefault="00324939" w:rsidP="00B93F0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324939" w:rsidRPr="00D638A0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84092C">
              <w:rPr>
                <w:rFonts w:ascii="Times New Roman" w:hAnsi="Times New Roman"/>
              </w:rPr>
              <w:t xml:space="preserve">Спортивная подготовка по </w:t>
            </w:r>
            <w:proofErr w:type="spellStart"/>
            <w:r w:rsidRPr="0084092C">
              <w:rPr>
                <w:rFonts w:ascii="Times New Roman" w:hAnsi="Times New Roman"/>
              </w:rPr>
              <w:t>неолимпийским</w:t>
            </w:r>
            <w:proofErr w:type="spellEnd"/>
            <w:r w:rsidRPr="0084092C">
              <w:rPr>
                <w:rFonts w:ascii="Times New Roman" w:hAnsi="Times New Roman"/>
              </w:rPr>
              <w:t xml:space="preserve"> видам спорта (самбо) (тренировочный этап)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8 216,87</w:t>
            </w:r>
          </w:p>
        </w:tc>
      </w:tr>
      <w:tr w:rsidR="00324939" w:rsidRPr="00324939" w:rsidTr="00B93F07">
        <w:tc>
          <w:tcPr>
            <w:tcW w:w="675" w:type="dxa"/>
          </w:tcPr>
          <w:p w:rsidR="00324939" w:rsidRPr="006040F8" w:rsidRDefault="00324939" w:rsidP="006040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324939" w:rsidRPr="00C443CA" w:rsidRDefault="00324939" w:rsidP="00B441C6">
            <w:pPr>
              <w:rPr>
                <w:rFonts w:ascii="Times New Roman" w:hAnsi="Times New Roman"/>
                <w:sz w:val="24"/>
                <w:szCs w:val="24"/>
              </w:rPr>
            </w:pPr>
            <w:r w:rsidRPr="00105726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Городского округа Пушкинский Московской области «Физкультурно-оздоровительный комплекс «Новое Пушкино»</w:t>
            </w:r>
          </w:p>
        </w:tc>
        <w:tc>
          <w:tcPr>
            <w:tcW w:w="3651" w:type="dxa"/>
            <w:vAlign w:val="center"/>
          </w:tcPr>
          <w:p w:rsidR="00324939" w:rsidRPr="00C443CA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C443CA">
              <w:rPr>
                <w:rFonts w:ascii="Times New Roman" w:hAnsi="Times New Roman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268" w:type="dxa"/>
            <w:vAlign w:val="center"/>
          </w:tcPr>
          <w:p w:rsidR="00324939" w:rsidRPr="00324939" w:rsidRDefault="00324939" w:rsidP="00B441C6">
            <w:pPr>
              <w:jc w:val="center"/>
              <w:rPr>
                <w:rFonts w:ascii="Times New Roman" w:hAnsi="Times New Roman"/>
              </w:rPr>
            </w:pPr>
            <w:r w:rsidRPr="00324939">
              <w:rPr>
                <w:rFonts w:ascii="Times New Roman" w:hAnsi="Times New Roman"/>
              </w:rPr>
              <w:t>1 254,95</w:t>
            </w:r>
          </w:p>
        </w:tc>
      </w:tr>
    </w:tbl>
    <w:p w:rsidR="00BF00CB" w:rsidRPr="00193445" w:rsidRDefault="00DD288C" w:rsidP="00DD288C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BF00CB" w:rsidRPr="00193445" w:rsidSect="0019344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6447"/>
    <w:multiLevelType w:val="hybridMultilevel"/>
    <w:tmpl w:val="85B4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445"/>
    <w:rsid w:val="000C25C7"/>
    <w:rsid w:val="000E65CF"/>
    <w:rsid w:val="00193445"/>
    <w:rsid w:val="001D2B20"/>
    <w:rsid w:val="002E5849"/>
    <w:rsid w:val="00324939"/>
    <w:rsid w:val="006040F8"/>
    <w:rsid w:val="00BF00CB"/>
    <w:rsid w:val="00CB5891"/>
    <w:rsid w:val="00CE7FFC"/>
    <w:rsid w:val="00DD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4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ДмитриеваОН</cp:lastModifiedBy>
  <cp:revision>6</cp:revision>
  <dcterms:created xsi:type="dcterms:W3CDTF">2023-05-25T18:58:00Z</dcterms:created>
  <dcterms:modified xsi:type="dcterms:W3CDTF">2023-06-08T05:38:00Z</dcterms:modified>
</cp:coreProperties>
</file>