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9F0BD1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5766C7">
        <w:rPr>
          <w:rFonts w:ascii="Arial" w:eastAsia="Times New Roman" w:hAnsi="Arial" w:cs="Arial"/>
          <w:b/>
          <w:sz w:val="24"/>
          <w:szCs w:val="24"/>
          <w:lang w:eastAsia="ru-RU"/>
        </w:rPr>
        <w:t>11</w:t>
      </w:r>
      <w:r w:rsidR="00331E2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5766C7">
        <w:rPr>
          <w:rFonts w:ascii="Arial" w:eastAsia="Times New Roman" w:hAnsi="Arial" w:cs="Arial"/>
          <w:b/>
          <w:sz w:val="24"/>
          <w:szCs w:val="24"/>
          <w:lang w:eastAsia="ru-RU"/>
        </w:rPr>
        <w:t>079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5766C7">
        <w:rPr>
          <w:rFonts w:ascii="Arial" w:eastAsia="Times New Roman" w:hAnsi="Arial" w:cs="Arial"/>
          <w:sz w:val="24"/>
          <w:szCs w:val="24"/>
          <w:lang w:eastAsia="ru-RU"/>
        </w:rPr>
        <w:t>одиннадцать тысяч семьдесят девять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5766C7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н</w:t>
      </w:r>
      <w:proofErr w:type="gramEnd"/>
      <w:r>
        <w:rPr>
          <w:rFonts w:ascii="Arial" w:hAnsi="Arial" w:cs="Arial"/>
        </w:rPr>
        <w:t>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FF131C" w:rsidP="002E48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D1238F"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FF131C" w:rsidP="002E48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D1238F"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FF131C" w:rsidP="002E48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D1238F"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79328D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7932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26A5">
              <w:rPr>
                <w:rFonts w:ascii="Arial" w:hAnsi="Arial" w:cs="Arial"/>
                <w:sz w:val="22"/>
                <w:szCs w:val="22"/>
              </w:rPr>
              <w:t>м</w:t>
            </w:r>
            <w:bookmarkStart w:id="0" w:name="_GoBack"/>
            <w:bookmarkEnd w:id="0"/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5766C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</w:t>
            </w:r>
            <w:r w:rsidR="005766C7">
              <w:rPr>
                <w:rFonts w:ascii="Arial" w:hAnsi="Arial" w:cs="Arial"/>
                <w:sz w:val="22"/>
                <w:szCs w:val="22"/>
              </w:rPr>
              <w:t>Ярославское шоссе, д. 185а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5766C7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5766C7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5766C7" w:rsidP="005766C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226A5"/>
    <w:rsid w:val="00246CED"/>
    <w:rsid w:val="00331E26"/>
    <w:rsid w:val="003A65F5"/>
    <w:rsid w:val="003C0ED7"/>
    <w:rsid w:val="004757AE"/>
    <w:rsid w:val="005636DA"/>
    <w:rsid w:val="005766C7"/>
    <w:rsid w:val="00684815"/>
    <w:rsid w:val="00693ED8"/>
    <w:rsid w:val="00700ECD"/>
    <w:rsid w:val="007055EE"/>
    <w:rsid w:val="0079328D"/>
    <w:rsid w:val="007A7821"/>
    <w:rsid w:val="008076E4"/>
    <w:rsid w:val="008C7A14"/>
    <w:rsid w:val="008D22D1"/>
    <w:rsid w:val="008F1482"/>
    <w:rsid w:val="009F0BD1"/>
    <w:rsid w:val="00C35838"/>
    <w:rsid w:val="00CE53CD"/>
    <w:rsid w:val="00D1238F"/>
    <w:rsid w:val="00D84811"/>
    <w:rsid w:val="00E8193C"/>
    <w:rsid w:val="00E84F9A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2017-05-16T06:36:00Z</dcterms:created>
  <dcterms:modified xsi:type="dcterms:W3CDTF">2017-05-16T12:02:00Z</dcterms:modified>
</cp:coreProperties>
</file>